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Times New Roman"/>
          <w:color w:val="000000"/>
          <w:sz w:val="20"/>
          <w:szCs w:val="20"/>
        </w:rPr>
      </w:pPr>
      <w:r>
        <w:rPr>
          <w:rFonts w:eastAsia="Arial Unicode MS"/>
          <w:b/>
          <w:bCs/>
          <w:color w:val="000000"/>
          <w:sz w:val="20"/>
          <w:szCs w:val="20"/>
        </w:rPr>
        <w:t>ANEXO IV – MODELO DE DECLARAÇÃO DE SUSTENTABILIDADE AMBIENTAL</w:t>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Fonts w:eastAsia="Times New Roman"/>
          <w:color w:val="000000"/>
          <w:sz w:val="20"/>
          <w:szCs w:val="20"/>
        </w:rPr>
        <w:t>(PAPEL TIMBRADO DA EMPRESA)</w:t>
      </w:r>
    </w:p>
    <w:p>
      <w:pPr>
        <w:pStyle w:val="Normal"/>
        <w:shd w:val="clear" w:color="auto" w:fill="FFFFFF"/>
        <w:tabs>
          <w:tab w:val="clear" w:pos="720"/>
          <w:tab w:val="left" w:pos="1320" w:leader="none"/>
        </w:tabs>
        <w:suppressAutoHyphens w:val="true"/>
        <w:spacing w:lineRule="atLeast" w:line="100" w:before="0" w:after="57"/>
        <w:jc w:val="center"/>
        <w:rPr>
          <w:rFonts w:eastAsia="Times New Roman"/>
          <w:color w:val="000000"/>
          <w:sz w:val="20"/>
          <w:szCs w:val="20"/>
        </w:rPr>
      </w:pPr>
      <w:r>
        <w:rPr>
          <w:rFonts w:eastAsia="Times New Roman"/>
          <w:b/>
          <w:bCs/>
          <w:color w:val="000000"/>
          <w:sz w:val="20"/>
          <w:szCs w:val="20"/>
        </w:rPr>
      </w:r>
    </w:p>
    <w:p>
      <w:pPr>
        <w:pStyle w:val="Normal"/>
        <w:shd w:val="clear" w:color="auto" w:fill="FFFFFF"/>
        <w:tabs>
          <w:tab w:val="clear" w:pos="720"/>
          <w:tab w:val="left" w:pos="0" w:leader="none"/>
        </w:tabs>
        <w:suppressAutoHyphens w:val="true"/>
        <w:spacing w:lineRule="atLeast" w:line="100" w:before="0" w:after="60"/>
        <w:jc w:val="center"/>
        <w:rPr>
          <w:rFonts w:eastAsia="Times New Roman"/>
          <w:b/>
          <w:bCs/>
          <w:color w:val="000000"/>
          <w:sz w:val="20"/>
          <w:szCs w:val="20"/>
          <w:highlight w:val="yellow"/>
        </w:rPr>
      </w:pPr>
      <w:r>
        <w:rPr>
          <w:rFonts w:eastAsia="Times New Roman"/>
          <w:b/>
          <w:bCs/>
          <w:color w:val="000000"/>
          <w:sz w:val="20"/>
          <w:szCs w:val="20"/>
        </w:rPr>
        <w:t>DECLARAÇÃO DE SUSTENTABILIDADE AMBIENTAL</w:t>
      </w:r>
    </w:p>
    <w:p>
      <w:pPr>
        <w:pStyle w:val="Normal"/>
        <w:suppressAutoHyphens w:val="true"/>
        <w:spacing w:before="0" w:after="120"/>
        <w:jc w:val="center"/>
        <w:rPr>
          <w:rFonts w:eastAsia="Times New Roman"/>
          <w:b/>
          <w:bCs/>
          <w:color w:val="000000"/>
          <w:sz w:val="20"/>
          <w:szCs w:val="20"/>
          <w:highlight w:val="yellow"/>
        </w:rPr>
      </w:pPr>
      <w:r>
        <w:rPr>
          <w:rFonts w:eastAsia="Times New Roman"/>
          <w:b/>
          <w:bCs/>
          <w:color w:val="000000"/>
          <w:sz w:val="20"/>
          <w:szCs w:val="20"/>
        </w:rPr>
      </w:r>
    </w:p>
    <w:p>
      <w:pPr>
        <w:pStyle w:val="Normal"/>
        <w:suppressAutoHyphens w:val="true"/>
        <w:spacing w:lineRule="auto" w:line="240" w:before="0" w:after="0"/>
        <w:ind w:firstLine="840"/>
        <w:jc w:val="both"/>
        <w:rPr/>
      </w:pPr>
      <w:r>
        <w:rPr>
          <w:rFonts w:eastAsia="Times New Roman"/>
          <w:color w:val="000000"/>
          <w:sz w:val="20"/>
          <w:szCs w:val="20"/>
        </w:rPr>
        <w:t xml:space="preserve">(NOME DA EMPRESA) _______________________, CNPJ nº ________________, com sede na ______________________ (endereço completo), por intermédio de seu representante legal, __________________________, para fins do </w:t>
      </w:r>
      <w:r>
        <w:rPr>
          <w:b/>
          <w:sz w:val="20"/>
        </w:rPr>
        <w:t>Pregão ELETRÔNICO nº 1/2024 UASG 160487-Centro de Preparação de Oficiais da Reserva e Colégio Militar de São Paulo</w:t>
      </w:r>
      <w:r>
        <w:rPr>
          <w:rFonts w:eastAsia="Times New Roman"/>
          <w:color w:val="000000"/>
          <w:sz w:val="20"/>
          <w:szCs w:val="20"/>
        </w:rPr>
        <w:t>, DECLARA expressamente, sob as penalidades cabíveis, que atende aos critérios de sustentabilidade ambiental, respeitando os critérios estabelecidos no Edital e Termo de Referência, as normas de proteção do meio ambiente, conforme estabelece a Instrução Normativa nº 01, de 19 de janeiro de 2010, nos casos em que a referida instrução se aplica ao objeto.</w:t>
      </w:r>
    </w:p>
    <w:p>
      <w:pPr>
        <w:pStyle w:val="Normal"/>
        <w:suppressAutoHyphens w:val="true"/>
        <w:spacing w:lineRule="auto" w:line="240" w:before="0" w:after="0"/>
        <w:ind w:firstLine="840"/>
        <w:jc w:val="both"/>
        <w:rPr>
          <w:rFonts w:eastAsia="Times New Roman"/>
          <w:b/>
          <w:bCs/>
          <w:color w:val="000000"/>
          <w:sz w:val="20"/>
          <w:szCs w:val="20"/>
          <w:u w:val="single"/>
        </w:rPr>
      </w:pPr>
      <w:r>
        <w:rPr/>
      </w:r>
    </w:p>
    <w:p>
      <w:pPr>
        <w:pStyle w:val="Normal"/>
        <w:suppressAutoHyphens w:val="true"/>
        <w:spacing w:lineRule="auto" w:line="240" w:before="0" w:after="0"/>
        <w:ind w:firstLine="840"/>
        <w:jc w:val="both"/>
        <w:rPr>
          <w:sz w:val="18"/>
          <w:szCs w:val="18"/>
        </w:rPr>
      </w:pPr>
      <w:r>
        <w:rPr>
          <w:rFonts w:eastAsia="Times New Roman"/>
          <w:b/>
          <w:bCs/>
          <w:color w:val="000000"/>
          <w:sz w:val="18"/>
          <w:szCs w:val="18"/>
          <w:u w:val="single"/>
        </w:rPr>
        <w:t>Material de Expediente</w:t>
      </w:r>
    </w:p>
    <w:p>
      <w:pPr>
        <w:pStyle w:val="Normal"/>
        <w:suppressAutoHyphens w:val="true"/>
        <w:spacing w:lineRule="auto" w:line="240" w:before="0" w:after="0"/>
        <w:ind w:firstLine="840"/>
        <w:jc w:val="both"/>
        <w:rPr>
          <w:sz w:val="18"/>
          <w:szCs w:val="18"/>
        </w:rPr>
      </w:pPr>
      <w:r>
        <w:rPr>
          <w:rFonts w:eastAsia="Times New Roman" w:cs="Arial"/>
          <w:color w:val="000000"/>
          <w:kern w:val="0"/>
          <w:sz w:val="18"/>
          <w:szCs w:val="18"/>
          <w:lang w:val="pt-BR" w:eastAsia="pt-BR" w:bidi="pt-BR"/>
        </w:rPr>
        <w:t>1) papel confeccionado com madeira de origem legal, com a apresentação do DOF¹, preferencialmente reciclado. O fabricante ou o fornecedor deverá apresentar declaração que ateste o cumprimento da exigência quanto à origem legal da madeira; a declaração será dispensada quando o papel possuir o certificado CERFLOR²ou FSC³;</w:t>
      </w:r>
    </w:p>
    <w:p>
      <w:pPr>
        <w:pStyle w:val="Normal"/>
        <w:suppressAutoHyphens w:val="true"/>
        <w:spacing w:lineRule="auto" w:line="240" w:before="0" w:after="0"/>
        <w:ind w:firstLine="840"/>
        <w:jc w:val="both"/>
        <w:rPr>
          <w:sz w:val="18"/>
          <w:szCs w:val="18"/>
        </w:rPr>
      </w:pPr>
      <w:r>
        <w:rPr>
          <w:rFonts w:eastAsia="Times New Roman" w:cs="Arial"/>
          <w:color w:val="000000"/>
          <w:kern w:val="0"/>
          <w:sz w:val="18"/>
          <w:szCs w:val="18"/>
          <w:lang w:val="pt-BR" w:eastAsia="pt-BR" w:bidi="pt-BR"/>
        </w:rPr>
        <w:t>2) itens derivados do papel (envelopes, pastas classificadoras, agendas, cartões de visita etc.) preferencialmente reciclados;</w:t>
      </w:r>
    </w:p>
    <w:p>
      <w:pPr>
        <w:pStyle w:val="Normal"/>
        <w:suppressAutoHyphens w:val="true"/>
        <w:spacing w:lineRule="auto" w:line="240" w:before="0" w:after="0"/>
        <w:ind w:firstLine="840"/>
        <w:jc w:val="both"/>
        <w:rPr>
          <w:sz w:val="18"/>
          <w:szCs w:val="18"/>
        </w:rPr>
      </w:pPr>
      <w:r>
        <w:rPr>
          <w:rFonts w:eastAsia="Times New Roman" w:cs="Arial"/>
          <w:color w:val="000000"/>
          <w:kern w:val="0"/>
          <w:sz w:val="18"/>
          <w:szCs w:val="18"/>
          <w:lang w:val="pt-BR" w:eastAsia="pt-BR" w:bidi="pt-BR"/>
        </w:rPr>
        <w:t>3) envelopes reutilizáveis, preferencialmente de papel reciclado;</w:t>
      </w:r>
    </w:p>
    <w:p>
      <w:pPr>
        <w:pStyle w:val="Normal"/>
        <w:suppressAutoHyphens w:val="true"/>
        <w:spacing w:lineRule="auto" w:line="240" w:before="0" w:after="0"/>
        <w:ind w:firstLine="840"/>
        <w:jc w:val="both"/>
        <w:rPr>
          <w:sz w:val="18"/>
          <w:szCs w:val="18"/>
        </w:rPr>
      </w:pPr>
      <w:r>
        <w:rPr>
          <w:rFonts w:eastAsia="Times New Roman" w:cs="Arial"/>
          <w:color w:val="000000"/>
          <w:kern w:val="0"/>
          <w:sz w:val="18"/>
          <w:szCs w:val="18"/>
          <w:lang w:val="pt-BR" w:eastAsia="pt-BR" w:bidi="pt-BR"/>
        </w:rPr>
        <w:t>4) itens constituídos em todo ou em parte por materiais reciclados, atóxicos e biodegradáveis;</w:t>
      </w:r>
    </w:p>
    <w:p>
      <w:pPr>
        <w:pStyle w:val="Normal"/>
        <w:suppressAutoHyphens w:val="true"/>
        <w:spacing w:lineRule="auto" w:line="240" w:before="0" w:after="0"/>
        <w:ind w:firstLine="840"/>
        <w:jc w:val="both"/>
        <w:rPr>
          <w:sz w:val="18"/>
          <w:szCs w:val="18"/>
        </w:rPr>
      </w:pPr>
      <w:r>
        <w:rPr>
          <w:rFonts w:eastAsia="Times New Roman" w:cs="Arial"/>
          <w:color w:val="000000"/>
          <w:kern w:val="0"/>
          <w:sz w:val="18"/>
          <w:szCs w:val="18"/>
          <w:lang w:val="pt-BR" w:eastAsia="pt-BR" w:bidi="pt-BR"/>
        </w:rPr>
        <w:t>5) lápis fabricados com madeira de origem legal, ou feito com material reciclado.</w:t>
      </w:r>
    </w:p>
    <w:p>
      <w:pPr>
        <w:pStyle w:val="Normal"/>
        <w:suppressAutoHyphens w:val="true"/>
        <w:spacing w:lineRule="auto" w:line="240" w:before="0" w:after="0"/>
        <w:ind w:firstLine="840"/>
        <w:jc w:val="both"/>
        <w:rPr/>
      </w:pPr>
      <w:r>
        <w:rPr>
          <w:rFonts w:eastAsia="Times New Roman"/>
          <w:color w:val="000000"/>
          <w:sz w:val="17"/>
          <w:szCs w:val="17"/>
          <w:lang w:eastAsia="zh-CN"/>
        </w:rPr>
        <w:t>¹</w:t>
      </w:r>
      <w:r>
        <w:rPr>
          <w:rFonts w:eastAsia="Times New Roman"/>
          <w:color w:val="000000"/>
          <w:sz w:val="17"/>
          <w:szCs w:val="17"/>
          <w:lang w:eastAsia="zh-CN"/>
        </w:rPr>
        <w:t>Documento de Origem Florestal – DOF, instituído pela Portaria n°253 de 18 de agosto de 2006, do Ministério do Meio Ambiente – MMA. Trata-se de licença obrigatória para o controle do transporte de produto e subproduto florestal de origem nativa, inclusive o carvão vegetal nativo, em substituição à ATPF. O DOF acompanhará, obrigatoriamente, o produto ou subproduto florestal nativo, da origem ao destino nele consignado, por meio de transporte individual: rodoviário, aéreo, ferroviário, fluvial ou marítimo.</w:t>
      </w:r>
    </w:p>
    <w:p>
      <w:pPr>
        <w:pStyle w:val="Normal"/>
        <w:suppressAutoHyphens w:val="true"/>
        <w:spacing w:lineRule="auto" w:line="240" w:before="0" w:after="0"/>
        <w:ind w:firstLine="840"/>
        <w:jc w:val="both"/>
        <w:rPr/>
      </w:pPr>
      <w:r>
        <w:rPr>
          <w:rFonts w:eastAsia="Times New Roman"/>
          <w:color w:val="000000"/>
          <w:sz w:val="17"/>
          <w:szCs w:val="17"/>
          <w:lang w:eastAsia="zh-CN"/>
        </w:rPr>
        <w:t>²</w:t>
      </w:r>
      <w:r>
        <w:rPr>
          <w:rFonts w:eastAsia="Times New Roman"/>
          <w:color w:val="000000"/>
          <w:sz w:val="17"/>
          <w:szCs w:val="17"/>
          <w:lang w:eastAsia="zh-CN"/>
        </w:rPr>
        <w:t>Programa Nacional de Certificação de Origem Florestal – Sistema Nacional de Metrologia, Normalização e Qualidade Industrial – Sinmetro – Inmetro. Certifica o manejo sustentável da Floresta e o rastreabilidade da origem da matéria prima, de acordo com as Normas Brasileiras ABNT-NBR 14.790 e 15.789.</w:t>
      </w:r>
    </w:p>
    <w:p>
      <w:pPr>
        <w:pStyle w:val="Normal"/>
        <w:suppressAutoHyphens w:val="true"/>
        <w:spacing w:lineRule="auto" w:line="240" w:before="0" w:after="0"/>
        <w:ind w:firstLine="840"/>
        <w:jc w:val="both"/>
        <w:rPr/>
      </w:pPr>
      <w:r>
        <w:rPr>
          <w:rFonts w:eastAsia="Times New Roman"/>
          <w:color w:val="000000"/>
          <w:sz w:val="17"/>
          <w:szCs w:val="17"/>
          <w:lang w:eastAsia="zh-CN"/>
        </w:rPr>
        <w:t>³</w:t>
      </w:r>
      <w:r>
        <w:rPr>
          <w:rFonts w:eastAsia="Times New Roman"/>
          <w:color w:val="000000"/>
          <w:sz w:val="17"/>
          <w:szCs w:val="17"/>
          <w:lang w:eastAsia="zh-CN"/>
        </w:rPr>
        <w:t>Forest Stewardship Council (Conselho de Manejo Florestal) – FSC.</w:t>
      </w:r>
    </w:p>
    <w:p>
      <w:pPr>
        <w:pStyle w:val="Normal"/>
        <w:suppressAutoHyphens w:val="true"/>
        <w:spacing w:lineRule="auto" w:line="240" w:before="0" w:after="0"/>
        <w:ind w:firstLine="840"/>
        <w:jc w:val="both"/>
        <w:rPr>
          <w:rFonts w:eastAsia="Times New Roman"/>
          <w:color w:val="000000"/>
          <w:sz w:val="17"/>
          <w:szCs w:val="17"/>
          <w:lang w:eastAsia="zh-CN"/>
        </w:rPr>
      </w:pPr>
      <w:r>
        <w:rPr>
          <w:rFonts w:eastAsia="Times New Roman"/>
          <w:color w:val="000000"/>
          <w:sz w:val="17"/>
          <w:szCs w:val="17"/>
          <w:lang w:eastAsia="zh-CN"/>
        </w:rPr>
      </w:r>
    </w:p>
    <w:p>
      <w:pPr>
        <w:pStyle w:val="Normal"/>
        <w:suppressAutoHyphens w:val="true"/>
        <w:spacing w:lineRule="auto" w:line="240" w:before="0" w:after="0"/>
        <w:ind w:firstLine="840"/>
        <w:jc w:val="both"/>
        <w:rPr>
          <w:sz w:val="18"/>
          <w:szCs w:val="18"/>
        </w:rPr>
      </w:pPr>
      <w:r>
        <w:rPr>
          <w:rFonts w:eastAsia="Times New Roman" w:cs="Arial"/>
          <w:b/>
          <w:bCs/>
          <w:color w:val="000000"/>
          <w:kern w:val="0"/>
          <w:sz w:val="18"/>
          <w:szCs w:val="18"/>
          <w:u w:val="single"/>
          <w:lang w:val="pt-BR" w:eastAsia="pt-BR" w:bidi="pt-BR"/>
        </w:rPr>
        <w:t>Pilhas, baterias</w:t>
      </w:r>
    </w:p>
    <w:p>
      <w:pPr>
        <w:pStyle w:val="BodyText"/>
        <w:suppressAutoHyphens w:val="true"/>
        <w:spacing w:lineRule="auto" w:line="276" w:before="0" w:after="0"/>
        <w:ind w:firstLine="840"/>
        <w:jc w:val="both"/>
        <w:rPr>
          <w:sz w:val="18"/>
          <w:szCs w:val="18"/>
        </w:rPr>
      </w:pPr>
      <w:r>
        <w:rPr>
          <w:rFonts w:eastAsia="Times New Roman" w:cs="Arial"/>
          <w:b w:val="false"/>
          <w:bCs w:val="false"/>
          <w:color w:val="000000"/>
          <w:kern w:val="0"/>
          <w:sz w:val="18"/>
          <w:szCs w:val="18"/>
          <w:u w:val="none"/>
          <w:lang w:val="pt-BR" w:eastAsia="pt-BR" w:bidi="pt-BR"/>
        </w:rPr>
        <w:t>Para o descarte de pilhas e baterias, deve-se observar:</w:t>
      </w:r>
    </w:p>
    <w:p>
      <w:pPr>
        <w:pStyle w:val="BodyText"/>
        <w:suppressAutoHyphens w:val="true"/>
        <w:spacing w:lineRule="auto" w:line="276" w:before="0" w:after="0"/>
        <w:ind w:firstLine="840"/>
        <w:jc w:val="both"/>
        <w:rPr>
          <w:sz w:val="18"/>
          <w:szCs w:val="18"/>
        </w:rPr>
      </w:pPr>
      <w:r>
        <w:rPr>
          <w:rFonts w:eastAsia="Times New Roman" w:cs="Arial"/>
          <w:b/>
          <w:bCs/>
          <w:color w:val="000000"/>
          <w:kern w:val="0"/>
          <w:sz w:val="18"/>
          <w:szCs w:val="18"/>
          <w:u w:val="none"/>
          <w:lang w:val="pt-BR" w:eastAsia="pt-BR" w:bidi="pt-BR"/>
        </w:rPr>
        <w:t xml:space="preserve">Aceitação de Descarte: </w:t>
      </w:r>
      <w:r>
        <w:rPr>
          <w:rFonts w:eastAsia="Times New Roman" w:cs="Arial"/>
          <w:b w:val="false"/>
          <w:bCs w:val="false"/>
          <w:color w:val="000000"/>
          <w:kern w:val="0"/>
          <w:sz w:val="18"/>
          <w:szCs w:val="18"/>
          <w:u w:val="none"/>
          <w:lang w:val="pt-BR" w:eastAsia="pt-BR" w:bidi="pt-BR"/>
        </w:rPr>
        <w:t>Comerciantes devem aceitar pilhas e baterias usadas para posterior recolhimento pelos fabricantes ou revendedores, conforme o Decreto 13.111/2001.</w:t>
      </w:r>
    </w:p>
    <w:p>
      <w:pPr>
        <w:pStyle w:val="BodyText"/>
        <w:suppressAutoHyphens w:val="true"/>
        <w:spacing w:lineRule="auto" w:line="276" w:before="0" w:after="0"/>
        <w:ind w:firstLine="840"/>
        <w:jc w:val="both"/>
        <w:rPr>
          <w:sz w:val="18"/>
          <w:szCs w:val="18"/>
        </w:rPr>
      </w:pPr>
      <w:r>
        <w:rPr>
          <w:rFonts w:eastAsia="Times New Roman" w:cs="Arial"/>
          <w:b/>
          <w:bCs/>
          <w:color w:val="000000"/>
          <w:kern w:val="0"/>
          <w:sz w:val="18"/>
          <w:szCs w:val="18"/>
          <w:u w:val="none"/>
          <w:lang w:val="pt-BR" w:eastAsia="pt-BR" w:bidi="pt-BR"/>
        </w:rPr>
        <w:t>Informações nas Embalagens/Pilhas/Baterias:</w:t>
      </w:r>
      <w:r>
        <w:rPr>
          <w:rFonts w:eastAsia="Times New Roman" w:cs="Arial"/>
          <w:b w:val="false"/>
          <w:bCs w:val="false"/>
          <w:color w:val="000000"/>
          <w:kern w:val="0"/>
          <w:sz w:val="18"/>
          <w:szCs w:val="18"/>
          <w:u w:val="none"/>
          <w:lang w:val="pt-BR" w:eastAsia="pt-BR" w:bidi="pt-BR"/>
        </w:rPr>
        <w:t xml:space="preserve"> As embalagens devem seguir o art. 14 </w:t>
      </w:r>
      <w:r>
        <w:rPr>
          <w:rFonts w:eastAsia="Times New Roman" w:cs="Arial"/>
          <w:b w:val="false"/>
          <w:bCs w:val="false"/>
          <w:color w:val="000000"/>
          <w:kern w:val="0"/>
          <w:sz w:val="18"/>
          <w:szCs w:val="18"/>
          <w:u w:val="none"/>
          <w:lang w:val="pt-BR" w:eastAsia="pt-BR" w:bidi="pt-BR"/>
        </w:rPr>
        <w:t>e informações conforme o art. 16</w:t>
      </w:r>
      <w:r>
        <w:rPr>
          <w:rFonts w:eastAsia="Times New Roman" w:cs="Arial"/>
          <w:b w:val="false"/>
          <w:bCs w:val="false"/>
          <w:color w:val="000000"/>
          <w:kern w:val="0"/>
          <w:sz w:val="18"/>
          <w:szCs w:val="18"/>
          <w:u w:val="none"/>
          <w:lang w:val="pt-BR" w:eastAsia="pt-BR" w:bidi="pt-BR"/>
        </w:rPr>
        <w:t xml:space="preserve"> da Resolução nº 401/2008 – CONAMA.</w:t>
      </w:r>
    </w:p>
    <w:p>
      <w:pPr>
        <w:pStyle w:val="BodyText"/>
        <w:suppressAutoHyphens w:val="true"/>
        <w:spacing w:lineRule="auto" w:line="276" w:before="0" w:after="0"/>
        <w:ind w:firstLine="840"/>
        <w:jc w:val="both"/>
        <w:rPr>
          <w:sz w:val="18"/>
          <w:szCs w:val="18"/>
        </w:rPr>
      </w:pPr>
      <w:r>
        <w:rPr>
          <w:rFonts w:eastAsia="Times New Roman" w:cs="Arial"/>
          <w:b/>
          <w:bCs/>
          <w:color w:val="000000"/>
          <w:kern w:val="0"/>
          <w:sz w:val="18"/>
          <w:szCs w:val="18"/>
          <w:u w:val="none"/>
          <w:lang w:val="pt-BR" w:eastAsia="pt-BR" w:bidi="pt-BR"/>
        </w:rPr>
        <w:t xml:space="preserve">Limites de Elementos: </w:t>
      </w:r>
      <w:r>
        <w:rPr>
          <w:rFonts w:eastAsia="Times New Roman" w:cs="Arial"/>
          <w:b w:val="false"/>
          <w:bCs w:val="false"/>
          <w:color w:val="000000"/>
          <w:kern w:val="0"/>
          <w:sz w:val="18"/>
          <w:szCs w:val="18"/>
          <w:u w:val="none"/>
          <w:lang w:val="pt-BR" w:eastAsia="pt-BR" w:bidi="pt-BR"/>
        </w:rPr>
        <w:t>Observação dos limites de chumbo, cádmio e mercúrio para pilhas e baterias, conforme a Resolução nº 401/2008 – CONAMA.</w:t>
      </w:r>
    </w:p>
    <w:p>
      <w:pPr>
        <w:pStyle w:val="BodyText"/>
        <w:suppressAutoHyphens w:val="true"/>
        <w:spacing w:lineRule="auto" w:line="276" w:before="0" w:after="0"/>
        <w:ind w:firstLine="840"/>
        <w:jc w:val="both"/>
        <w:rPr>
          <w:sz w:val="18"/>
          <w:szCs w:val="18"/>
        </w:rPr>
      </w:pPr>
      <w:r>
        <w:rPr>
          <w:rFonts w:eastAsia="Times New Roman" w:cs="Arial"/>
          <w:b/>
          <w:bCs/>
          <w:color w:val="000000"/>
          <w:kern w:val="0"/>
          <w:sz w:val="18"/>
          <w:szCs w:val="18"/>
          <w:u w:val="none"/>
          <w:lang w:val="pt-BR" w:eastAsia="pt-BR" w:bidi="pt-BR"/>
        </w:rPr>
        <w:t>Laudo de Conformidade:</w:t>
      </w:r>
      <w:r>
        <w:rPr>
          <w:rFonts w:eastAsia="Times New Roman" w:cs="Arial"/>
          <w:b w:val="false"/>
          <w:bCs w:val="false"/>
          <w:color w:val="000000"/>
          <w:kern w:val="0"/>
          <w:sz w:val="18"/>
          <w:szCs w:val="18"/>
          <w:u w:val="none"/>
          <w:lang w:val="pt-BR" w:eastAsia="pt-BR" w:bidi="pt-BR"/>
        </w:rPr>
        <w:t xml:space="preserve"> Apresentação de laudo de laboratório acreditado pelo Inmetro para comprovação dos teores máximos permitidos.</w:t>
      </w:r>
    </w:p>
    <w:p>
      <w:pPr>
        <w:pStyle w:val="BodyText"/>
        <w:suppressAutoHyphens w:val="true"/>
        <w:spacing w:lineRule="auto" w:line="276" w:before="0" w:after="0"/>
        <w:ind w:firstLine="840"/>
        <w:jc w:val="both"/>
        <w:rPr>
          <w:sz w:val="18"/>
          <w:szCs w:val="18"/>
        </w:rPr>
      </w:pPr>
      <w:r>
        <w:rPr>
          <w:rFonts w:eastAsia="Times New Roman" w:cs="Arial"/>
          <w:b/>
          <w:bCs/>
          <w:color w:val="000000"/>
          <w:kern w:val="0"/>
          <w:sz w:val="18"/>
          <w:szCs w:val="18"/>
          <w:u w:val="none"/>
          <w:lang w:val="pt-BR" w:eastAsia="pt-BR" w:bidi="pt-BR"/>
        </w:rPr>
        <w:t>Cadastro Técnico Federal:</w:t>
      </w:r>
      <w:r>
        <w:rPr>
          <w:rFonts w:eastAsia="Times New Roman" w:cs="Arial"/>
          <w:b w:val="false"/>
          <w:bCs w:val="false"/>
          <w:color w:val="000000"/>
          <w:kern w:val="0"/>
          <w:sz w:val="18"/>
          <w:szCs w:val="18"/>
          <w:u w:val="none"/>
          <w:lang w:val="pt-BR" w:eastAsia="pt-BR" w:bidi="pt-BR"/>
        </w:rPr>
        <w:t xml:space="preserve"> Aquisição deve ser feita de fabricantes ou importadores inscritos no CTF.</w:t>
      </w:r>
    </w:p>
    <w:p>
      <w:pPr>
        <w:pStyle w:val="Normal"/>
        <w:suppressAutoHyphens w:val="true"/>
        <w:spacing w:lineRule="auto" w:line="240" w:before="0" w:after="0"/>
        <w:ind w:firstLine="840"/>
        <w:jc w:val="both"/>
        <w:rPr>
          <w:rFonts w:ascii="Arial" w:hAnsi="Arial" w:eastAsia="Times New Roman" w:cs="Arial"/>
          <w:b w:val="false"/>
          <w:bCs w:val="false"/>
          <w:color w:val="000000"/>
          <w:kern w:val="0"/>
          <w:sz w:val="18"/>
          <w:szCs w:val="18"/>
          <w:u w:val="none"/>
          <w:lang w:val="pt-BR" w:eastAsia="pt-BR" w:bidi="pt-BR"/>
        </w:rPr>
      </w:pPr>
      <w:r>
        <w:rPr>
          <w:rFonts w:eastAsia="Times New Roman" w:cs="Arial"/>
          <w:b w:val="false"/>
          <w:bCs w:val="false"/>
          <w:color w:val="000000"/>
          <w:kern w:val="0"/>
          <w:sz w:val="18"/>
          <w:szCs w:val="18"/>
          <w:u w:val="none"/>
          <w:lang w:val="pt-BR" w:eastAsia="pt-BR" w:bidi="pt-BR"/>
        </w:rPr>
      </w:r>
    </w:p>
    <w:p>
      <w:pPr>
        <w:pStyle w:val="Normal"/>
        <w:suppressAutoHyphens w:val="true"/>
        <w:spacing w:lineRule="auto" w:line="240" w:before="0" w:after="0"/>
        <w:ind w:firstLine="840"/>
        <w:jc w:val="both"/>
        <w:rPr>
          <w:sz w:val="18"/>
          <w:szCs w:val="18"/>
        </w:rPr>
      </w:pPr>
      <w:r>
        <w:rPr>
          <w:rFonts w:eastAsia="Times New Roman" w:cs="Arial"/>
          <w:b/>
          <w:bCs/>
          <w:color w:val="000000"/>
          <w:kern w:val="0"/>
          <w:sz w:val="18"/>
          <w:szCs w:val="18"/>
          <w:u w:val="single"/>
          <w:lang w:val="pt-BR" w:eastAsia="pt-BR" w:bidi="pt-BR"/>
        </w:rPr>
        <w:t>Cartuchos e Tonner</w:t>
      </w:r>
    </w:p>
    <w:p>
      <w:pPr>
        <w:pStyle w:val="Normal"/>
        <w:suppressAutoHyphens w:val="true"/>
        <w:spacing w:lineRule="auto" w:line="276" w:before="0" w:after="0"/>
        <w:ind w:firstLine="840"/>
        <w:jc w:val="both"/>
        <w:rPr>
          <w:sz w:val="18"/>
          <w:szCs w:val="18"/>
        </w:rPr>
      </w:pPr>
      <w:r>
        <w:rPr>
          <w:rFonts w:eastAsia="Times New Roman" w:cs="Arial"/>
          <w:b w:val="false"/>
          <w:bCs w:val="false"/>
          <w:color w:val="000000"/>
          <w:kern w:val="0"/>
          <w:sz w:val="18"/>
          <w:szCs w:val="18"/>
          <w:u w:val="none"/>
          <w:lang w:val="pt-BR" w:eastAsia="pt-BR" w:bidi="pt-BR"/>
        </w:rPr>
        <w:t>Nas aquisições de cartuchos de tinta e de toner:</w:t>
      </w:r>
    </w:p>
    <w:p>
      <w:pPr>
        <w:pStyle w:val="Normal"/>
        <w:suppressAutoHyphens w:val="true"/>
        <w:spacing w:lineRule="auto" w:line="276" w:before="0" w:after="0"/>
        <w:ind w:firstLine="840"/>
        <w:jc w:val="both"/>
        <w:rPr>
          <w:sz w:val="18"/>
          <w:szCs w:val="18"/>
        </w:rPr>
      </w:pPr>
      <w:r>
        <w:rPr>
          <w:rFonts w:eastAsia="Times New Roman" w:cs="Arial"/>
          <w:b/>
          <w:bCs/>
          <w:color w:val="000000"/>
          <w:kern w:val="0"/>
          <w:sz w:val="18"/>
          <w:szCs w:val="18"/>
          <w:u w:val="none"/>
          <w:lang w:val="pt-BR" w:eastAsia="pt-BR" w:bidi="pt-BR"/>
        </w:rPr>
        <w:t>Plano de Coleta:</w:t>
      </w:r>
      <w:r>
        <w:rPr>
          <w:rFonts w:eastAsia="Times New Roman" w:cs="Arial"/>
          <w:b w:val="false"/>
          <w:bCs w:val="false"/>
          <w:color w:val="000000"/>
          <w:kern w:val="0"/>
          <w:sz w:val="18"/>
          <w:szCs w:val="18"/>
          <w:u w:val="none"/>
          <w:lang w:val="pt-BR" w:eastAsia="pt-BR" w:bidi="pt-BR"/>
        </w:rPr>
        <w:t xml:space="preserve"> O fornecedor deve detalhar como será feita a coleta e destinação final dos cartuchos.</w:t>
      </w:r>
    </w:p>
    <w:p>
      <w:pPr>
        <w:pStyle w:val="Normal"/>
        <w:suppressAutoHyphens w:val="true"/>
        <w:spacing w:lineRule="auto" w:line="276" w:before="0" w:after="0"/>
        <w:ind w:firstLine="840"/>
        <w:jc w:val="both"/>
        <w:rPr>
          <w:sz w:val="18"/>
          <w:szCs w:val="18"/>
        </w:rPr>
      </w:pPr>
      <w:r>
        <w:rPr>
          <w:rFonts w:eastAsia="Times New Roman" w:cs="Arial"/>
          <w:b/>
          <w:bCs/>
          <w:color w:val="000000"/>
          <w:kern w:val="0"/>
          <w:sz w:val="18"/>
          <w:szCs w:val="18"/>
          <w:u w:val="none"/>
          <w:lang w:val="pt-BR" w:eastAsia="pt-BR" w:bidi="pt-BR"/>
        </w:rPr>
        <w:t>Logística Reversa:</w:t>
      </w:r>
      <w:r>
        <w:rPr>
          <w:rFonts w:eastAsia="Times New Roman" w:cs="Arial"/>
          <w:b w:val="false"/>
          <w:bCs w:val="false"/>
          <w:color w:val="000000"/>
          <w:kern w:val="0"/>
          <w:sz w:val="18"/>
          <w:szCs w:val="18"/>
          <w:u w:val="none"/>
          <w:lang w:val="pt-BR" w:eastAsia="pt-BR" w:bidi="pt-BR"/>
        </w:rPr>
        <w:t xml:space="preserve"> logística reversa, com o fornecedor responsável pelo recolhimento, de acordo com a regulamentação da Lei nº 12.305/2010.</w:t>
      </w:r>
    </w:p>
    <w:p>
      <w:pPr>
        <w:pStyle w:val="Normal"/>
        <w:suppressAutoHyphens w:val="true"/>
        <w:spacing w:lineRule="auto" w:line="276" w:before="0" w:after="0"/>
        <w:ind w:firstLine="840"/>
        <w:jc w:val="both"/>
        <w:rPr>
          <w:sz w:val="18"/>
          <w:szCs w:val="18"/>
        </w:rPr>
      </w:pPr>
      <w:r>
        <w:rPr>
          <w:rFonts w:eastAsia="Times New Roman" w:cs="Arial"/>
          <w:b/>
          <w:bCs/>
          <w:color w:val="000000"/>
          <w:kern w:val="0"/>
          <w:sz w:val="18"/>
          <w:szCs w:val="18"/>
          <w:u w:val="none"/>
          <w:lang w:val="pt-BR" w:eastAsia="pt-BR" w:bidi="pt-BR"/>
        </w:rPr>
        <w:t>Sistema de Recolhimento:</w:t>
      </w:r>
      <w:r>
        <w:rPr>
          <w:rFonts w:eastAsia="Times New Roman" w:cs="Arial"/>
          <w:b w:val="false"/>
          <w:bCs w:val="false"/>
          <w:color w:val="000000"/>
          <w:kern w:val="0"/>
          <w:sz w:val="18"/>
          <w:szCs w:val="18"/>
          <w:u w:val="none"/>
          <w:lang w:val="pt-BR" w:eastAsia="pt-BR" w:bidi="pt-BR"/>
        </w:rPr>
        <w:t xml:space="preserve"> Especificar quantidades mínimas de cartuchos a serem recolhidos, responsáveis e detalhamento da destinação.</w:t>
      </w:r>
    </w:p>
    <w:p>
      <w:pPr>
        <w:pStyle w:val="Normal"/>
        <w:suppressAutoHyphens w:val="true"/>
        <w:spacing w:lineRule="auto" w:line="276" w:before="0" w:after="0"/>
        <w:ind w:firstLine="840"/>
        <w:jc w:val="both"/>
        <w:rPr>
          <w:b/>
          <w:bCs/>
          <w:sz w:val="18"/>
          <w:szCs w:val="18"/>
        </w:rPr>
      </w:pPr>
      <w:r>
        <w:rPr>
          <w:rFonts w:eastAsia="Times New Roman" w:cs="Arial"/>
          <w:b/>
          <w:bCs/>
          <w:color w:val="000000"/>
          <w:kern w:val="0"/>
          <w:sz w:val="18"/>
          <w:szCs w:val="18"/>
          <w:u w:val="none"/>
          <w:lang w:val="pt-BR" w:eastAsia="pt-BR" w:bidi="pt-BR"/>
        </w:rPr>
        <w:t>Destinação Adequada:</w:t>
      </w:r>
    </w:p>
    <w:p>
      <w:pPr>
        <w:pStyle w:val="Normal"/>
        <w:suppressAutoHyphens w:val="true"/>
        <w:spacing w:lineRule="auto" w:line="276" w:before="0" w:after="0"/>
        <w:ind w:firstLine="840"/>
        <w:jc w:val="both"/>
        <w:rPr>
          <w:sz w:val="18"/>
          <w:szCs w:val="18"/>
        </w:rPr>
      </w:pPr>
      <w:r>
        <w:rPr>
          <w:rFonts w:eastAsia="Times New Roman" w:cs="Arial"/>
          <w:b w:val="false"/>
          <w:bCs w:val="false"/>
          <w:color w:val="000000"/>
          <w:kern w:val="0"/>
          <w:sz w:val="18"/>
          <w:szCs w:val="18"/>
          <w:u w:val="none"/>
          <w:lang w:val="pt-BR" w:eastAsia="pt-BR" w:bidi="pt-BR"/>
        </w:rPr>
        <w:t>Reaproveitamento ou reutilização das peças não desgastadas sob supervisão do fabricante.</w:t>
      </w:r>
    </w:p>
    <w:p>
      <w:pPr>
        <w:pStyle w:val="Normal"/>
        <w:suppressAutoHyphens w:val="true"/>
        <w:spacing w:lineRule="auto" w:line="276" w:before="0" w:after="0"/>
        <w:ind w:firstLine="840"/>
        <w:jc w:val="both"/>
        <w:rPr>
          <w:sz w:val="18"/>
          <w:szCs w:val="18"/>
        </w:rPr>
      </w:pPr>
      <w:r>
        <w:rPr>
          <w:rFonts w:eastAsia="Times New Roman" w:cs="Arial"/>
          <w:b w:val="false"/>
          <w:bCs w:val="false"/>
          <w:color w:val="000000"/>
          <w:kern w:val="0"/>
          <w:sz w:val="18"/>
          <w:szCs w:val="18"/>
          <w:u w:val="none"/>
          <w:lang w:val="pt-BR" w:eastAsia="pt-BR" w:bidi="pt-BR"/>
        </w:rPr>
        <w:t>Destinação ambientalmente adequada dos resíduos, licenciada pelo órgão competente.</w:t>
      </w:r>
    </w:p>
    <w:p>
      <w:pPr>
        <w:pStyle w:val="Normal"/>
        <w:keepNext w:val="true"/>
        <w:suppressAutoHyphens w:val="true"/>
        <w:spacing w:lineRule="atLeast" w:line="100" w:before="567" w:after="0"/>
        <w:jc w:val="center"/>
        <w:rPr>
          <w:rFonts w:eastAsia="Bitstream Vera Sans"/>
          <w:color w:val="000000"/>
          <w:sz w:val="20"/>
          <w:szCs w:val="20"/>
          <w:lang w:eastAsia="zh-CN"/>
        </w:rPr>
      </w:pPr>
      <w:r>
        <w:rPr>
          <w:rFonts w:eastAsia="Bitstream Vera Sans"/>
          <w:color w:val="000000"/>
          <w:sz w:val="20"/>
          <w:szCs w:val="20"/>
          <w:lang w:eastAsia="zh-CN"/>
        </w:rPr>
        <w:t>São Paulo-SP, ......., de ................... de 2024.</w:t>
      </w:r>
    </w:p>
    <w:p>
      <w:pPr>
        <w:pStyle w:val="Normal"/>
        <w:keepNext w:val="true"/>
        <w:suppressAutoHyphens w:val="true"/>
        <w:spacing w:lineRule="atLeast" w:line="100" w:before="567" w:after="0"/>
        <w:jc w:val="center"/>
        <w:rPr>
          <w:rFonts w:eastAsia="Bitstream Vera Sans"/>
          <w:color w:val="000000"/>
          <w:sz w:val="20"/>
          <w:szCs w:val="20"/>
        </w:rPr>
      </w:pPr>
      <w:r>
        <w:rPr>
          <w:rFonts w:eastAsia="Times New Roman"/>
          <w:caps/>
          <w:color w:val="000000"/>
          <w:sz w:val="20"/>
          <w:szCs w:val="20"/>
          <w:lang w:eastAsia="zh-CN"/>
        </w:rPr>
        <w:t xml:space="preserve"> </w:t>
      </w:r>
      <w:r>
        <w:rPr>
          <w:rFonts w:eastAsia="Bitstream Vera Sans"/>
          <w:caps/>
          <w:color w:val="000000"/>
          <w:sz w:val="20"/>
          <w:szCs w:val="20"/>
          <w:lang w:eastAsia="zh-CN"/>
        </w:rPr>
        <w:t>________________________</w:t>
      </w:r>
    </w:p>
    <w:p>
      <w:pPr>
        <w:pStyle w:val="Normal"/>
        <w:suppressLineNumbers/>
        <w:suppressAutoHyphens w:val="true"/>
        <w:jc w:val="center"/>
        <w:rPr>
          <w:rFonts w:eastAsia="Arial Unicode MS"/>
          <w:color w:val="000000"/>
          <w:sz w:val="20"/>
          <w:szCs w:val="20"/>
          <w:highlight w:val="white"/>
        </w:rPr>
      </w:pPr>
      <w:r>
        <w:rPr>
          <w:rFonts w:eastAsia="Bitstream Vera Sans"/>
          <w:color w:val="000000"/>
          <w:sz w:val="20"/>
          <w:szCs w:val="20"/>
        </w:rPr>
        <w:t>nome do Responsável Legal</w:t>
      </w:r>
    </w:p>
    <w:p>
      <w:pPr>
        <w:pStyle w:val="Normal"/>
        <w:suppressLineNumbers/>
        <w:shd w:val="clear" w:color="auto" w:fill="FFFFFF"/>
        <w:tabs>
          <w:tab w:val="clear" w:pos="720"/>
          <w:tab w:val="left" w:pos="1320" w:leader="none"/>
        </w:tabs>
        <w:suppressAutoHyphens w:val="true"/>
        <w:spacing w:lineRule="auto" w:line="360"/>
        <w:ind w:hanging="0" w:right="-15"/>
        <w:jc w:val="center"/>
        <w:rPr>
          <w:rFonts w:eastAsia="Arial Unicode MS"/>
          <w:b/>
          <w:bCs/>
          <w:sz w:val="20"/>
          <w:szCs w:val="20"/>
        </w:rPr>
      </w:pPr>
      <w:r>
        <w:rPr>
          <w:rFonts w:eastAsia="Arial Unicode MS"/>
          <w:color w:val="000000"/>
          <w:sz w:val="20"/>
          <w:szCs w:val="20"/>
          <w:shd w:fill="FFFFFF" w:val="clear"/>
        </w:rPr>
        <w:t>RG / CPF</w:t>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Fonts w:eastAsia="Arial Unicode MS"/>
          <w:b/>
          <w:bCs/>
          <w:sz w:val="20"/>
          <w:szCs w:val="20"/>
        </w:rPr>
      </w:r>
    </w:p>
    <w:p>
      <w:pPr>
        <w:pStyle w:val="Normal"/>
        <w:shd w:val="clear" w:color="auto" w:fill="FFFFFF"/>
        <w:tabs>
          <w:tab w:val="clear" w:pos="720"/>
          <w:tab w:val="left" w:pos="405" w:leader="none"/>
          <w:tab w:val="left" w:pos="1095" w:leader="none"/>
        </w:tabs>
        <w:suppressAutoHyphens w:val="true"/>
        <w:spacing w:lineRule="auto" w:line="360" w:before="0" w:after="120"/>
        <w:ind w:hanging="0" w:right="-15"/>
        <w:jc w:val="center"/>
        <w:rPr>
          <w:rFonts w:eastAsia="Arial Unicode MS"/>
          <w:b/>
          <w:bCs/>
          <w:sz w:val="20"/>
          <w:szCs w:val="20"/>
        </w:rPr>
      </w:pPr>
      <w:r>
        <w:rPr/>
      </w:r>
    </w:p>
    <w:p>
      <w:pPr>
        <w:pStyle w:val="Heading1"/>
        <w:spacing w:before="72" w:after="0"/>
        <w:ind w:hanging="0" w:left="0"/>
        <w:jc w:val="center"/>
        <w:rPr/>
      </w:pPr>
      <w:r>
        <w:rPr/>
        <w:t>ANEXO V – MODELO DE DECLARAÇÃO DE ELABORAÇÃO INDEPENDENTE DE PROPOSTA</w:t>
      </w:r>
    </w:p>
    <w:p>
      <w:pPr>
        <w:pStyle w:val="BodyText"/>
        <w:spacing w:before="4" w:after="0"/>
        <w:rPr>
          <w:b/>
        </w:rPr>
      </w:pPr>
      <w:r>
        <w:rPr>
          <w:b/>
        </w:rPr>
      </w:r>
    </w:p>
    <w:p>
      <w:pPr>
        <w:pStyle w:val="BodyText"/>
        <w:ind w:hanging="0" w:left="3644" w:right="3896"/>
        <w:jc w:val="center"/>
        <w:rPr/>
      </w:pPr>
      <w:r>
        <w:rPr/>
        <w:t>(Timbre da Empresa)</w:t>
      </w:r>
    </w:p>
    <w:p>
      <w:pPr>
        <w:pStyle w:val="BodyText"/>
        <w:rPr/>
      </w:pPr>
      <w:r>
        <w:rPr/>
      </w:r>
    </w:p>
    <w:p>
      <w:pPr>
        <w:pStyle w:val="BodyText"/>
        <w:rPr/>
      </w:pPr>
      <w:r>
        <w:rPr/>
      </w:r>
    </w:p>
    <w:p>
      <w:pPr>
        <w:pStyle w:val="BodyText"/>
        <w:spacing w:before="1" w:after="0"/>
        <w:ind w:hanging="0" w:left="2558" w:right="2816"/>
        <w:jc w:val="center"/>
        <w:rPr/>
      </w:pPr>
      <w:r>
        <w:rPr/>
        <w:t>(Identificação da Licitação)</w:t>
      </w:r>
    </w:p>
    <w:p>
      <w:pPr>
        <w:pStyle w:val="BodyText"/>
        <w:spacing w:before="9" w:after="0"/>
        <w:rPr>
          <w:sz w:val="19"/>
        </w:rPr>
      </w:pPr>
      <w:r>
        <w:rPr>
          <w:sz w:val="19"/>
        </w:rPr>
      </w:r>
    </w:p>
    <w:p>
      <w:pPr>
        <w:pStyle w:val="BodyText"/>
        <w:spacing w:before="1" w:after="0"/>
        <w:ind w:hanging="0" w:left="496" w:right="716"/>
        <w:jc w:val="both"/>
        <w:rPr/>
      </w:pPr>
      <w:r>
        <w:rPr/>
        <w:t>(Identificação completa do representante da licitante), como representante devidamente constituído de (Identificação completa da licitante ou do Consórcio) doravante denominado (Licitante), para fins do disposto no item (completar) do Edital (completar com identificação do edital), declara, sob as penas da lei, em especial o Art. 299 do Código Penal Brasileiro, que:</w:t>
      </w:r>
    </w:p>
    <w:p>
      <w:pPr>
        <w:pStyle w:val="BodyText"/>
        <w:spacing w:before="5" w:after="0"/>
        <w:rPr/>
      </w:pPr>
      <w:r>
        <w:rPr/>
      </w:r>
    </w:p>
    <w:p>
      <w:pPr>
        <w:pStyle w:val="ListParagraph"/>
        <w:numPr>
          <w:ilvl w:val="6"/>
          <w:numId w:val="2"/>
        </w:numPr>
        <w:tabs>
          <w:tab w:val="clear" w:pos="720"/>
          <w:tab w:val="left" w:pos="886" w:leader="none"/>
        </w:tabs>
        <w:spacing w:lineRule="auto" w:line="235" w:before="1" w:after="0"/>
        <w:ind w:hanging="0" w:left="496" w:right="716"/>
        <w:jc w:val="both"/>
        <w:rPr>
          <w:sz w:val="20"/>
        </w:rPr>
      </w:pPr>
      <w:r>
        <w:rPr>
          <w:sz w:val="20"/>
        </w:rPr>
        <w:t>a proposta apresentada para participar da (identificação da licitação) foi elaborada de maneira independente (pelo Licitante), e o conteúdo da proposta não foi, no todo ou em parte, direta ou indiretamente, informado, discutido ou recebido de qualquer outro participante potencial ou de fato da (identificação da licitação), por qualquer meio ou por qualquer</w:t>
      </w:r>
      <w:r>
        <w:rPr>
          <w:spacing w:val="-3"/>
          <w:sz w:val="20"/>
        </w:rPr>
        <w:t xml:space="preserve"> </w:t>
      </w:r>
      <w:r>
        <w:rPr>
          <w:sz w:val="20"/>
        </w:rPr>
        <w:t>pessoa;</w:t>
      </w:r>
    </w:p>
    <w:p>
      <w:pPr>
        <w:pStyle w:val="BodyText"/>
        <w:spacing w:before="11" w:after="0"/>
        <w:rPr/>
      </w:pPr>
      <w:r>
        <w:rPr/>
      </w:r>
    </w:p>
    <w:p>
      <w:pPr>
        <w:pStyle w:val="ListParagraph"/>
        <w:numPr>
          <w:ilvl w:val="6"/>
          <w:numId w:val="2"/>
        </w:numPr>
        <w:tabs>
          <w:tab w:val="clear" w:pos="720"/>
          <w:tab w:val="left" w:pos="855" w:leader="none"/>
        </w:tabs>
        <w:spacing w:lineRule="auto" w:line="235"/>
        <w:ind w:hanging="0" w:left="496" w:right="713"/>
        <w:jc w:val="both"/>
        <w:rPr>
          <w:sz w:val="20"/>
        </w:rPr>
      </w:pPr>
      <w:r>
        <w:rPr>
          <w:sz w:val="20"/>
        </w:rPr>
        <w:t>a intenção de apresentar a proposta elaborada para participar da (identificação da licitação) não foi informada, discutida ou recebida de qualquer outro participante potencial ou de fato da (identificação da licitação), por qualquer meio ou por qualquer</w:t>
      </w:r>
      <w:r>
        <w:rPr>
          <w:spacing w:val="-4"/>
          <w:sz w:val="20"/>
        </w:rPr>
        <w:t xml:space="preserve"> </w:t>
      </w:r>
      <w:r>
        <w:rPr>
          <w:sz w:val="20"/>
        </w:rPr>
        <w:t>pessoa;</w:t>
      </w:r>
    </w:p>
    <w:p>
      <w:pPr>
        <w:pStyle w:val="BodyText"/>
        <w:spacing w:before="4" w:after="0"/>
        <w:rPr/>
      </w:pPr>
      <w:r>
        <w:rPr/>
      </w:r>
    </w:p>
    <w:p>
      <w:pPr>
        <w:pStyle w:val="ListParagraph"/>
        <w:numPr>
          <w:ilvl w:val="6"/>
          <w:numId w:val="2"/>
        </w:numPr>
        <w:tabs>
          <w:tab w:val="clear" w:pos="720"/>
          <w:tab w:val="left" w:pos="840" w:leader="none"/>
        </w:tabs>
        <w:spacing w:lineRule="auto" w:line="235" w:before="1" w:after="0"/>
        <w:ind w:hanging="0" w:left="496" w:right="713"/>
        <w:jc w:val="both"/>
        <w:rPr>
          <w:sz w:val="20"/>
        </w:rPr>
      </w:pPr>
      <w:r>
        <w:rPr>
          <w:sz w:val="20"/>
        </w:rPr>
        <w:t>que não tentou, por qualquer meio ou por qualquer pessoa, influir na decisão de qualquer outro participante potencial ou de fato da (identificação da licitação) quanto a participar ou não da referida licitação;</w:t>
      </w:r>
    </w:p>
    <w:p>
      <w:pPr>
        <w:pStyle w:val="BodyText"/>
        <w:spacing w:before="6" w:after="0"/>
        <w:rPr/>
      </w:pPr>
      <w:r>
        <w:rPr/>
      </w:r>
    </w:p>
    <w:p>
      <w:pPr>
        <w:pStyle w:val="ListParagraph"/>
        <w:numPr>
          <w:ilvl w:val="6"/>
          <w:numId w:val="2"/>
        </w:numPr>
        <w:tabs>
          <w:tab w:val="clear" w:pos="720"/>
          <w:tab w:val="left" w:pos="864" w:leader="none"/>
        </w:tabs>
        <w:spacing w:lineRule="auto" w:line="235"/>
        <w:ind w:hanging="0" w:left="496" w:right="720"/>
        <w:jc w:val="both"/>
        <w:rPr>
          <w:sz w:val="20"/>
        </w:rPr>
      </w:pPr>
      <w:r>
        <w:rPr>
          <w:sz w:val="20"/>
        </w:rPr>
        <w:t>que o conteúdo da proposta apresentada para participar da (identificação da licitação) não será, no todo ou em parte, direta ou indiretamente, comunicado ou discutido com qualquer outro participante potencial</w:t>
      </w:r>
      <w:r>
        <w:rPr>
          <w:spacing w:val="-5"/>
          <w:sz w:val="20"/>
        </w:rPr>
        <w:t xml:space="preserve"> </w:t>
      </w:r>
      <w:r>
        <w:rPr>
          <w:sz w:val="20"/>
        </w:rPr>
        <w:t>ou</w:t>
      </w:r>
      <w:r>
        <w:rPr>
          <w:spacing w:val="-2"/>
          <w:sz w:val="20"/>
        </w:rPr>
        <w:t xml:space="preserve"> </w:t>
      </w:r>
      <w:r>
        <w:rPr>
          <w:sz w:val="20"/>
        </w:rPr>
        <w:t>de</w:t>
      </w:r>
      <w:r>
        <w:rPr>
          <w:spacing w:val="-5"/>
          <w:sz w:val="20"/>
        </w:rPr>
        <w:t xml:space="preserve"> </w:t>
      </w:r>
      <w:r>
        <w:rPr>
          <w:sz w:val="20"/>
        </w:rPr>
        <w:t>fato</w:t>
      </w:r>
      <w:r>
        <w:rPr>
          <w:spacing w:val="-2"/>
          <w:sz w:val="20"/>
        </w:rPr>
        <w:t xml:space="preserve"> </w:t>
      </w:r>
      <w:r>
        <w:rPr>
          <w:sz w:val="20"/>
        </w:rPr>
        <w:t>da</w:t>
      </w:r>
      <w:r>
        <w:rPr>
          <w:spacing w:val="-5"/>
          <w:sz w:val="20"/>
        </w:rPr>
        <w:t xml:space="preserve"> </w:t>
      </w:r>
      <w:r>
        <w:rPr>
          <w:sz w:val="20"/>
        </w:rPr>
        <w:t>(identificação</w:t>
      </w:r>
      <w:r>
        <w:rPr>
          <w:spacing w:val="-3"/>
          <w:sz w:val="20"/>
        </w:rPr>
        <w:t xml:space="preserve"> </w:t>
      </w:r>
      <w:r>
        <w:rPr>
          <w:sz w:val="20"/>
        </w:rPr>
        <w:t>da</w:t>
      </w:r>
      <w:r>
        <w:rPr>
          <w:spacing w:val="-3"/>
          <w:sz w:val="20"/>
        </w:rPr>
        <w:t xml:space="preserve"> </w:t>
      </w:r>
      <w:r>
        <w:rPr>
          <w:sz w:val="20"/>
        </w:rPr>
        <w:t>licitação)</w:t>
      </w:r>
      <w:r>
        <w:rPr>
          <w:spacing w:val="-3"/>
          <w:sz w:val="20"/>
        </w:rPr>
        <w:t xml:space="preserve"> </w:t>
      </w:r>
      <w:r>
        <w:rPr>
          <w:sz w:val="20"/>
        </w:rPr>
        <w:t>antes</w:t>
      </w:r>
      <w:r>
        <w:rPr>
          <w:spacing w:val="-3"/>
          <w:sz w:val="20"/>
        </w:rPr>
        <w:t xml:space="preserve"> </w:t>
      </w:r>
      <w:r>
        <w:rPr>
          <w:sz w:val="20"/>
        </w:rPr>
        <w:t>da</w:t>
      </w:r>
      <w:r>
        <w:rPr>
          <w:spacing w:val="-4"/>
          <w:sz w:val="20"/>
        </w:rPr>
        <w:t xml:space="preserve"> </w:t>
      </w:r>
      <w:r>
        <w:rPr>
          <w:sz w:val="20"/>
        </w:rPr>
        <w:t>adjudicação</w:t>
      </w:r>
      <w:r>
        <w:rPr>
          <w:spacing w:val="-2"/>
          <w:sz w:val="20"/>
        </w:rPr>
        <w:t xml:space="preserve"> </w:t>
      </w:r>
      <w:r>
        <w:rPr>
          <w:sz w:val="20"/>
        </w:rPr>
        <w:t>do</w:t>
      </w:r>
      <w:r>
        <w:rPr>
          <w:spacing w:val="-2"/>
          <w:sz w:val="20"/>
        </w:rPr>
        <w:t xml:space="preserve"> </w:t>
      </w:r>
      <w:r>
        <w:rPr>
          <w:sz w:val="20"/>
        </w:rPr>
        <w:t>objeto</w:t>
      </w:r>
      <w:r>
        <w:rPr>
          <w:spacing w:val="-2"/>
          <w:sz w:val="20"/>
        </w:rPr>
        <w:t xml:space="preserve"> </w:t>
      </w:r>
      <w:r>
        <w:rPr>
          <w:sz w:val="20"/>
        </w:rPr>
        <w:t>da</w:t>
      </w:r>
      <w:r>
        <w:rPr>
          <w:spacing w:val="-5"/>
          <w:sz w:val="20"/>
        </w:rPr>
        <w:t xml:space="preserve"> </w:t>
      </w:r>
      <w:r>
        <w:rPr>
          <w:sz w:val="20"/>
        </w:rPr>
        <w:t>referida</w:t>
      </w:r>
      <w:r>
        <w:rPr>
          <w:spacing w:val="-2"/>
          <w:sz w:val="20"/>
        </w:rPr>
        <w:t xml:space="preserve"> </w:t>
      </w:r>
      <w:r>
        <w:rPr>
          <w:sz w:val="20"/>
        </w:rPr>
        <w:t>licitação;</w:t>
      </w:r>
    </w:p>
    <w:p>
      <w:pPr>
        <w:pStyle w:val="BodyText"/>
        <w:spacing w:before="4" w:after="0"/>
        <w:rPr/>
      </w:pPr>
      <w:r>
        <w:rPr/>
      </w:r>
    </w:p>
    <w:p>
      <w:pPr>
        <w:pStyle w:val="ListParagraph"/>
        <w:numPr>
          <w:ilvl w:val="6"/>
          <w:numId w:val="2"/>
        </w:numPr>
        <w:tabs>
          <w:tab w:val="clear" w:pos="720"/>
          <w:tab w:val="left" w:pos="838" w:leader="none"/>
        </w:tabs>
        <w:spacing w:lineRule="auto" w:line="235"/>
        <w:ind w:hanging="0" w:left="496" w:right="726"/>
        <w:jc w:val="both"/>
        <w:rPr>
          <w:sz w:val="20"/>
        </w:rPr>
      </w:pPr>
      <w:r>
        <w:rPr>
          <w:sz w:val="20"/>
        </w:rPr>
        <w:t>que o conteúdo da proposta apresentada para participar da (identificação da licitação) não foi, no todo ou em parte, direta ou indiretamente, informado, discutido ou recebido de qualquer integrante de (órgão licitante) antes da abertura oficial das propostas;</w:t>
      </w:r>
      <w:r>
        <w:rPr>
          <w:spacing w:val="-4"/>
          <w:sz w:val="20"/>
        </w:rPr>
        <w:t xml:space="preserve"> </w:t>
      </w:r>
      <w:r>
        <w:rPr>
          <w:sz w:val="20"/>
        </w:rPr>
        <w:t>e</w:t>
      </w:r>
    </w:p>
    <w:p>
      <w:pPr>
        <w:pStyle w:val="BodyText"/>
        <w:spacing w:before="1" w:after="0"/>
        <w:rPr>
          <w:sz w:val="21"/>
        </w:rPr>
      </w:pPr>
      <w:r>
        <w:rPr>
          <w:sz w:val="21"/>
        </w:rPr>
      </w:r>
    </w:p>
    <w:p>
      <w:pPr>
        <w:pStyle w:val="ListParagraph"/>
        <w:numPr>
          <w:ilvl w:val="6"/>
          <w:numId w:val="2"/>
        </w:numPr>
        <w:tabs>
          <w:tab w:val="clear" w:pos="720"/>
          <w:tab w:val="left" w:pos="838" w:leader="none"/>
        </w:tabs>
        <w:spacing w:lineRule="auto" w:line="228" w:before="1" w:after="0"/>
        <w:ind w:hanging="0" w:left="496" w:right="715"/>
        <w:jc w:val="both"/>
        <w:rPr>
          <w:sz w:val="20"/>
        </w:rPr>
      </w:pPr>
      <w:r>
        <w:rPr>
          <w:sz w:val="20"/>
        </w:rPr>
        <w:t>que está plenamente ciente do teor e da extensão desta declaração e que detém plenos poderes e informações para</w:t>
      </w:r>
      <w:r>
        <w:rPr>
          <w:spacing w:val="-2"/>
          <w:sz w:val="20"/>
        </w:rPr>
        <w:t xml:space="preserve"> </w:t>
      </w:r>
      <w:r>
        <w:rPr>
          <w:sz w:val="20"/>
        </w:rPr>
        <w:t>firmá-la.</w:t>
      </w:r>
    </w:p>
    <w:p>
      <w:pPr>
        <w:pStyle w:val="BodyText"/>
        <w:rPr>
          <w:sz w:val="22"/>
        </w:rPr>
      </w:pPr>
      <w:r>
        <w:rPr>
          <w:sz w:val="22"/>
        </w:rPr>
      </w:r>
    </w:p>
    <w:p>
      <w:pPr>
        <w:pStyle w:val="BodyText"/>
        <w:spacing w:before="3" w:after="0"/>
        <w:rPr>
          <w:sz w:val="18"/>
        </w:rPr>
      </w:pPr>
      <w:r>
        <w:rPr>
          <w:sz w:val="18"/>
        </w:rPr>
      </w:r>
    </w:p>
    <w:p>
      <w:pPr>
        <w:pStyle w:val="BodyText"/>
        <w:tabs>
          <w:tab w:val="clear" w:pos="720"/>
          <w:tab w:val="left" w:pos="3844" w:leader="none"/>
          <w:tab w:val="left" w:pos="4730" w:leader="none"/>
          <w:tab w:val="left" w:pos="7356" w:leader="none"/>
          <w:tab w:val="left" w:pos="8702" w:leader="none"/>
        </w:tabs>
        <w:ind w:hanging="0" w:left="1204"/>
        <w:rPr>
          <w:rFonts w:ascii="Times New Roman" w:hAnsi="Times New Roman"/>
        </w:rPr>
      </w:pPr>
      <w:r>
        <w:rPr>
          <w:rFonts w:ascii="Times New Roman" w:hAnsi="Times New Roman"/>
          <w:w w:val="99"/>
          <w:position w:val="2"/>
          <w:u w:val="single"/>
        </w:rPr>
        <w:t xml:space="preserve"> </w:t>
      </w:r>
      <w:r>
        <w:rPr>
          <w:rFonts w:ascii="Times New Roman" w:hAnsi="Times New Roman"/>
          <w:position w:val="2"/>
          <w:u w:val="single"/>
        </w:rPr>
        <w:tab/>
      </w:r>
      <w:r>
        <w:rPr>
          <w:position w:val="2"/>
        </w:rPr>
        <w:t>,</w:t>
      </w:r>
      <w:r>
        <w:rPr>
          <w:spacing w:val="-1"/>
          <w:position w:val="2"/>
        </w:rPr>
        <w:t xml:space="preserve"> </w:t>
      </w:r>
      <w:r>
        <w:rPr>
          <w:position w:val="2"/>
        </w:rPr>
        <w:t>em</w:t>
      </w:r>
      <w:r>
        <w:rPr>
          <w:position w:val="2"/>
          <w:u w:val="single"/>
        </w:rPr>
        <w:t xml:space="preserve"> </w:t>
        <w:tab/>
      </w:r>
      <w:r>
        <w:rPr>
          <w:position w:val="2"/>
        </w:rPr>
        <w:t>de</w:t>
      </w:r>
      <w:r>
        <w:rPr>
          <w:u w:val="single"/>
        </w:rPr>
        <w:t xml:space="preserve"> </w:t>
        <w:tab/>
      </w:r>
      <w:r>
        <w:rPr/>
        <w:t>de</w:t>
      </w:r>
      <w:r>
        <w:rPr>
          <w:spacing w:val="1"/>
        </w:rPr>
        <w:t xml:space="preserve"> </w:t>
      </w:r>
      <w:r>
        <w:rPr>
          <w:rFonts w:ascii="Times New Roman" w:hAnsi="Times New Roman"/>
          <w:w w:val="99"/>
          <w:u w:val="single"/>
        </w:rPr>
        <w:t xml:space="preserve"> </w:t>
      </w:r>
      <w:r>
        <w:rPr>
          <w:rFonts w:ascii="Times New Roman" w:hAnsi="Times New Roman"/>
          <w:u w:val="single"/>
        </w:rPr>
        <w:tab/>
      </w:r>
    </w:p>
    <w:p>
      <w:pPr>
        <w:pStyle w:val="BodyText"/>
        <w:rPr>
          <w:rFonts w:ascii="Times New Roman" w:hAnsi="Times New Roman"/>
        </w:rPr>
      </w:pPr>
      <w:r>
        <w:rPr>
          <w:rFonts w:ascii="Times New Roman" w:hAnsi="Times New Roman"/>
        </w:rPr>
      </w:r>
    </w:p>
    <w:p>
      <w:pPr>
        <w:pStyle w:val="BodyText"/>
        <w:spacing w:before="2" w:after="0"/>
        <w:rPr>
          <w:rFonts w:ascii="Times New Roman" w:hAnsi="Times New Roman"/>
          <w:sz w:val="22"/>
        </w:rPr>
      </w:pPr>
      <w:r>
        <w:rPr>
          <w:rFonts w:ascii="Times New Roman" w:hAnsi="Times New Roman"/>
          <w:sz w:val="22"/>
        </w:rPr>
      </w:r>
    </w:p>
    <w:p>
      <w:pPr>
        <w:pStyle w:val="BodyText"/>
        <w:spacing w:before="2" w:after="0"/>
        <w:rPr>
          <w:rFonts w:ascii="Times New Roman" w:hAnsi="Times New Roman"/>
          <w:sz w:val="22"/>
        </w:rPr>
      </w:pPr>
      <w:r>
        <w:rPr>
          <w:rFonts w:ascii="Times New Roman" w:hAnsi="Times New Roman"/>
          <w:sz w:val="22"/>
        </w:rPr>
      </w:r>
    </w:p>
    <w:p>
      <w:pPr>
        <w:pStyle w:val="BodyText"/>
        <w:spacing w:before="2" w:after="0"/>
        <w:rPr>
          <w:rFonts w:ascii="Times New Roman" w:hAnsi="Times New Roman"/>
          <w:sz w:val="22"/>
        </w:rPr>
      </w:pPr>
      <w:r>
        <w:rPr>
          <w:rFonts w:ascii="Times New Roman" w:hAnsi="Times New Roman"/>
          <w:sz w:val="22"/>
        </w:rPr>
      </w:r>
    </w:p>
    <w:p>
      <w:pPr>
        <w:pStyle w:val="Normal"/>
        <w:keepNext w:val="true"/>
        <w:suppressAutoHyphens w:val="true"/>
        <w:spacing w:lineRule="atLeast" w:line="100" w:before="567" w:after="0"/>
        <w:jc w:val="center"/>
        <w:rPr>
          <w:rFonts w:eastAsia="Bitstream Vera Sans"/>
          <w:color w:val="000000"/>
          <w:sz w:val="20"/>
          <w:szCs w:val="20"/>
        </w:rPr>
      </w:pPr>
      <w:r>
        <w:rPr>
          <w:rFonts w:eastAsia="Times New Roman"/>
          <w:caps/>
          <w:color w:val="000000"/>
          <w:sz w:val="20"/>
          <w:szCs w:val="20"/>
          <w:lang w:eastAsia="zh-CN"/>
        </w:rPr>
        <w:t xml:space="preserve"> </w:t>
      </w:r>
      <w:r>
        <w:rPr>
          <w:rFonts w:eastAsia="Bitstream Vera Sans"/>
          <w:caps/>
          <w:color w:val="000000"/>
          <w:sz w:val="20"/>
          <w:szCs w:val="20"/>
          <w:lang w:eastAsia="zh-CN"/>
        </w:rPr>
        <w:t>___________________________</w:t>
      </w:r>
      <w:r>
        <w:rPr>
          <w:rFonts w:eastAsia="Times New Roman"/>
          <w:caps/>
          <w:color w:val="000000"/>
          <w:sz w:val="20"/>
          <w:szCs w:val="20"/>
          <w:lang w:eastAsia="zh-CN"/>
        </w:rPr>
        <w:t xml:space="preserve"> </w:t>
      </w:r>
      <w:r>
        <w:rPr>
          <w:rFonts w:eastAsia="Bitstream Vera Sans"/>
          <w:caps/>
          <w:color w:val="000000"/>
          <w:sz w:val="20"/>
          <w:szCs w:val="20"/>
          <w:lang w:eastAsia="zh-CN"/>
        </w:rPr>
        <w:t>___________________</w:t>
      </w:r>
    </w:p>
    <w:p>
      <w:pPr>
        <w:sectPr>
          <w:type w:val="nextPage"/>
          <w:pgSz w:w="11906" w:h="16838"/>
          <w:pgMar w:left="800" w:right="540" w:gutter="0" w:header="0" w:top="1320" w:footer="0" w:bottom="280"/>
          <w:pgNumType w:fmt="decimal"/>
          <w:formProt w:val="false"/>
          <w:textDirection w:val="lrTb"/>
          <w:docGrid w:type="default" w:linePitch="100" w:charSpace="4096"/>
        </w:sectPr>
        <w:pStyle w:val="BodyText"/>
        <w:spacing w:lineRule="exact" w:line="210"/>
        <w:ind w:hanging="0" w:left="496"/>
        <w:jc w:val="center"/>
        <w:rPr/>
      </w:pPr>
      <w:r>
        <w:rPr/>
        <w:t>(representante legal do licitante/consórcio, no âmbito da licitação, com identificação completa</w:t>
      </w:r>
      <w:r>
        <w:rPr/>
        <w:t>)</w:t>
      </w:r>
    </w:p>
    <w:p>
      <w:pPr>
        <w:pStyle w:val="Heading1"/>
        <w:spacing w:before="72" w:after="0"/>
        <w:ind w:hanging="0" w:left="1677"/>
        <w:rPr/>
      </w:pPr>
      <w:r>
        <w:rPr/>
        <w:t>ANEXO VI – DECLARAÇÃO DE ME/EPP/COOPERATIVA E EQUIPARADOS</w:t>
      </w:r>
    </w:p>
    <w:p>
      <w:pPr>
        <w:pStyle w:val="BodyText"/>
        <w:spacing w:before="4" w:after="0"/>
        <w:rPr>
          <w:b/>
        </w:rPr>
      </w:pPr>
      <w:r>
        <w:rPr>
          <w:b/>
        </w:rPr>
      </w:r>
    </w:p>
    <w:p>
      <w:pPr>
        <w:pStyle w:val="BodyText"/>
        <w:tabs>
          <w:tab w:val="clear" w:pos="720"/>
          <w:tab w:val="left" w:pos="5633" w:leader="none"/>
        </w:tabs>
        <w:ind w:hanging="0" w:left="332" w:right="714"/>
        <w:jc w:val="both"/>
        <w:rPr>
          <w:b/>
        </w:rPr>
      </w:pPr>
      <w:r>
        <w:rPr/>
        <w:t>(NOME COMPLETO OU RAZÃO SOCIAL) ... inscrita sob o CPF/CNPJ ......., domiciliado ou residente ou sediado no endereço (completo) –</w:t>
      </w:r>
      <w:r>
        <w:rPr>
          <w:spacing w:val="49"/>
        </w:rPr>
        <w:t xml:space="preserve"> </w:t>
      </w:r>
      <w:r>
        <w:rPr/>
        <w:t>com</w:t>
      </w:r>
      <w:r>
        <w:rPr>
          <w:spacing w:val="12"/>
        </w:rPr>
        <w:t xml:space="preserve"> </w:t>
      </w:r>
      <w:r>
        <w:rPr/>
        <w:t>CEP</w:t>
      </w:r>
      <w:r>
        <w:rPr>
          <w:u w:val="single"/>
        </w:rPr>
        <w:t xml:space="preserve"> </w:t>
        <w:tab/>
      </w:r>
      <w:r>
        <w:rPr/>
        <w:t xml:space="preserve">, declara, sob as penas da Lei, que cumpre os requisitos estabelecidos no Art. 3º da Lei Complementar nº 123, de 14 de dezembro de 2006, alterada pela Lei nº </w:t>
      </w:r>
      <w:r>
        <w:rPr>
          <w:spacing w:val="-3"/>
        </w:rPr>
        <w:t xml:space="preserve">11.488, </w:t>
      </w:r>
      <w:r>
        <w:rPr/>
        <w:t xml:space="preserve">de 15 de junho de 2007, em seu Art. 34, que esta Empresa/Cooperativa/Equiparado está apta a usufruir do tratamento favorecido estabelecido nos artigos 42 ao 49 da referida Lei Complementar, conforme disposto no Edital e anexos do </w:t>
      </w:r>
      <w:r>
        <w:rPr>
          <w:b/>
        </w:rPr>
        <w:t>Pregão ELETRÔNICO nº 1/2024 da UASG 160487.</w:t>
      </w:r>
    </w:p>
    <w:p>
      <w:pPr>
        <w:pStyle w:val="BodyText"/>
        <w:rPr>
          <w:b/>
        </w:rPr>
      </w:pPr>
      <w:r>
        <w:rPr>
          <w:b/>
        </w:rPr>
      </w:r>
    </w:p>
    <w:p>
      <w:pPr>
        <w:pStyle w:val="BodyText"/>
        <w:tabs>
          <w:tab w:val="clear" w:pos="720"/>
          <w:tab w:val="left" w:pos="4653" w:leader="none"/>
          <w:tab w:val="left" w:pos="7414" w:leader="none"/>
        </w:tabs>
        <w:ind w:hanging="0" w:left="332"/>
        <w:jc w:val="both"/>
        <w:rPr/>
      </w:pPr>
      <w:r>
        <w:rPr/>
      </w:r>
    </w:p>
    <w:p>
      <w:pPr>
        <w:pStyle w:val="BodyText"/>
        <w:tabs>
          <w:tab w:val="clear" w:pos="720"/>
          <w:tab w:val="left" w:pos="4653" w:leader="none"/>
          <w:tab w:val="left" w:pos="7414" w:leader="none"/>
        </w:tabs>
        <w:ind w:hanging="0" w:left="332"/>
        <w:jc w:val="both"/>
        <w:rPr/>
      </w:pPr>
      <w:r>
        <w:rPr/>
        <w:t>Carimbo</w:t>
      </w:r>
      <w:r>
        <w:rPr>
          <w:spacing w:val="-4"/>
        </w:rPr>
        <w:t xml:space="preserve"> </w:t>
      </w:r>
      <w:r>
        <w:rPr/>
        <w:t>do</w:t>
      </w:r>
      <w:r>
        <w:rPr>
          <w:spacing w:val="-4"/>
        </w:rPr>
        <w:t xml:space="preserve"> </w:t>
      </w:r>
      <w:r>
        <w:rPr/>
        <w:t>CNPJ</w:t>
        <w:tab/>
        <w:t xml:space="preserve">São Paulo-SP, </w:t>
      </w:r>
      <w:r>
        <w:rPr>
          <w:spacing w:val="49"/>
        </w:rPr>
        <w:t xml:space="preserve"> </w:t>
      </w:r>
      <w:r>
        <w:rPr/>
        <w:t>de</w:t>
      </w:r>
      <w:r>
        <w:rPr>
          <w:u w:val="none"/>
        </w:rPr>
        <w:t xml:space="preserve"> ______ </w:t>
      </w:r>
      <w:r>
        <w:rPr/>
        <w:t>de</w:t>
      </w:r>
      <w:r>
        <w:rPr>
          <w:spacing w:val="-1"/>
        </w:rPr>
        <w:t xml:space="preserve"> </w:t>
      </w:r>
      <w:r>
        <w:rPr/>
        <w:t>2024.</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6" w:after="0"/>
        <w:rPr>
          <w:sz w:val="11"/>
        </w:rPr>
      </w:pPr>
      <w:r>
        <w:rPr>
          <w:sz w:val="11"/>
        </w:rPr>
        <mc:AlternateContent>
          <mc:Choice Requires="wps">
            <w:drawing>
              <wp:anchor behindDoc="0" distT="1270" distB="10795" distL="5080" distR="5080" simplePos="0" locked="0" layoutInCell="0" allowOverlap="1" relativeHeight="3">
                <wp:simplePos x="0" y="0"/>
                <wp:positionH relativeFrom="page">
                  <wp:posOffset>1027430</wp:posOffset>
                </wp:positionH>
                <wp:positionV relativeFrom="paragraph">
                  <wp:posOffset>112395</wp:posOffset>
                </wp:positionV>
                <wp:extent cx="2896870" cy="0"/>
                <wp:effectExtent l="3175" t="3810" r="3175" b="3810"/>
                <wp:wrapTopAndBottom/>
                <wp:docPr id="1" name="Line 1"/>
                <a:graphic xmlns:a="http://schemas.openxmlformats.org/drawingml/2006/main">
                  <a:graphicData uri="http://schemas.microsoft.com/office/word/2010/wordprocessingShape">
                    <wps:wsp>
                      <wps:cNvSpPr/>
                      <wps:spPr>
                        <a:xfrm>
                          <a:off x="0" y="0"/>
                          <a:ext cx="2896920" cy="0"/>
                        </a:xfrm>
                        <a:prstGeom prst="line">
                          <a:avLst/>
                        </a:prstGeom>
                        <a:ln w="6480">
                          <a:solidFill>
                            <a:srgbClr val="000000"/>
                          </a:solidFill>
                          <a:round/>
                        </a:ln>
                      </wps:spPr>
                      <wps:style>
                        <a:lnRef idx="0"/>
                        <a:fillRef idx="0"/>
                        <a:effectRef idx="0"/>
                        <a:fontRef idx="minor"/>
                      </wps:style>
                      <wps:bodyPr/>
                    </wps:wsp>
                  </a:graphicData>
                </a:graphic>
              </wp:anchor>
            </w:drawing>
          </mc:Choice>
          <mc:Fallback>
            <w:pict>
              <v:line id="shape_0" from="80.9pt,8.85pt" to="308.95pt,8.85pt" ID="Line 1" stroked="t" o:allowincell="f" style="position:absolute;mso-position-horizontal-relative:page">
                <v:stroke color="black" weight="6480" joinstyle="round" endcap="flat"/>
                <v:fill o:detectmouseclick="t" on="false"/>
                <w10:wrap type="topAndBottom"/>
              </v:line>
            </w:pict>
          </mc:Fallback>
        </mc:AlternateContent>
      </w:r>
    </w:p>
    <w:p>
      <w:pPr>
        <w:pStyle w:val="BodyText"/>
        <w:spacing w:before="4" w:after="0"/>
        <w:rPr>
          <w:sz w:val="11"/>
        </w:rPr>
      </w:pPr>
      <w:r>
        <w:rPr>
          <w:sz w:val="11"/>
        </w:rPr>
      </w:r>
    </w:p>
    <w:p>
      <w:pPr>
        <w:pStyle w:val="BodyText"/>
        <w:spacing w:before="93" w:after="0"/>
        <w:ind w:hanging="0" w:left="450"/>
        <w:rPr/>
      </w:pPr>
      <w:r>
        <w:rPr/>
        <w:t>Assinatura do Representante</w:t>
      </w:r>
    </w:p>
    <w:p>
      <w:pPr>
        <w:pStyle w:val="BodyText"/>
        <w:ind w:hanging="0" w:left="433" w:right="9540"/>
        <w:rPr/>
      </w:pPr>
      <w:r>
        <w:rPr/>
      </w:r>
    </w:p>
    <w:p>
      <w:pPr>
        <w:pStyle w:val="BodyText"/>
        <w:ind w:hanging="0" w:left="433" w:right="9540"/>
        <w:rPr/>
      </w:pPr>
      <w:r>
        <w:rPr/>
        <w:t>Nome:</w:t>
      </w:r>
    </w:p>
    <w:p>
      <w:pPr>
        <w:pStyle w:val="BodyText"/>
        <w:ind w:hanging="0" w:left="433" w:right="9540"/>
        <w:rPr/>
      </w:pPr>
      <w:r>
        <w:rPr/>
        <w:t>RG:</w:t>
      </w:r>
    </w:p>
    <w:p>
      <w:pPr>
        <w:sectPr>
          <w:type w:val="nextPage"/>
          <w:pgSz w:w="11906" w:h="16838"/>
          <w:pgMar w:left="800" w:right="540" w:gutter="0" w:header="0" w:top="1320" w:footer="0" w:bottom="280"/>
          <w:pgNumType w:fmt="decimal"/>
          <w:formProt w:val="false"/>
          <w:textDirection w:val="lrTb"/>
          <w:docGrid w:type="default" w:linePitch="100" w:charSpace="4096"/>
        </w:sectPr>
        <w:pStyle w:val="BodyText"/>
        <w:ind w:hanging="0" w:left="433" w:right="9540"/>
        <w:rPr/>
      </w:pPr>
      <w:r>
        <w:rPr/>
        <w:t>CPF:</w:t>
      </w:r>
    </w:p>
    <w:p>
      <w:pPr>
        <w:pStyle w:val="Heading1"/>
        <w:spacing w:before="72" w:after="0"/>
        <w:ind w:hanging="0" w:left="1139"/>
        <w:rPr/>
      </w:pPr>
      <w:r>
        <w:rPr/>
        <w:t>ANEXO VII</w:t>
      </w:r>
      <w:bookmarkStart w:id="0" w:name="_GoBack"/>
      <w:bookmarkEnd w:id="0"/>
      <w:r>
        <w:rPr/>
        <w:t xml:space="preserve"> – DECLARAÇÃO DE CUMPRIMENTO DOS REQUISITOS DE HABILITAÇÃO</w:t>
      </w:r>
    </w:p>
    <w:p>
      <w:pPr>
        <w:pStyle w:val="BodyText"/>
        <w:spacing w:before="4" w:after="0"/>
        <w:rPr>
          <w:b/>
        </w:rPr>
      </w:pPr>
      <w:r>
        <w:rPr>
          <w:b/>
        </w:rPr>
      </w:r>
    </w:p>
    <w:p>
      <w:pPr>
        <w:pStyle w:val="BodyText"/>
        <w:tabs>
          <w:tab w:val="clear" w:pos="720"/>
          <w:tab w:val="left" w:pos="6780" w:leader="none"/>
        </w:tabs>
        <w:ind w:firstLine="283" w:left="332" w:right="591"/>
        <w:jc w:val="both"/>
        <w:rPr/>
      </w:pPr>
      <w:r>
        <w:rPr/>
        <w:t>A/O ... (NOME COMPLETO OU RAZÃO SOCIAL) ... inscrita sob o CPF/CNPJ ......., domiciliado ou residente ou sediado no endereço (completo) –</w:t>
      </w:r>
      <w:r>
        <w:rPr>
          <w:spacing w:val="42"/>
        </w:rPr>
        <w:t xml:space="preserve"> </w:t>
      </w:r>
      <w:r>
        <w:rPr/>
        <w:t>com</w:t>
      </w:r>
      <w:r>
        <w:rPr>
          <w:spacing w:val="10"/>
        </w:rPr>
        <w:t xml:space="preserve"> </w:t>
      </w:r>
      <w:r>
        <w:rPr/>
        <w:t>CEP</w:t>
      </w:r>
      <w:r>
        <w:rPr>
          <w:u w:val="single"/>
        </w:rPr>
        <w:t xml:space="preserve"> </w:t>
        <w:tab/>
      </w:r>
      <w:r>
        <w:rPr/>
        <w:t>, declara sob as penalidades da lei, para fins de participação no Pregão ELETRÔNICO nº 1/2024 UASG 160487-Centro de Preparação de Oficiais da Reserva e Colégio Militar de São Paulo, que:</w:t>
      </w:r>
    </w:p>
    <w:p>
      <w:pPr>
        <w:pStyle w:val="BodyText"/>
        <w:spacing w:before="3" w:after="0"/>
        <w:rPr>
          <w:sz w:val="12"/>
        </w:rPr>
      </w:pPr>
      <w:r>
        <w:rPr>
          <w:sz w:val="12"/>
        </w:rPr>
      </w:r>
    </w:p>
    <w:p>
      <w:pPr>
        <w:pStyle w:val="ListParagraph"/>
        <w:numPr>
          <w:ilvl w:val="7"/>
          <w:numId w:val="2"/>
        </w:numPr>
        <w:tabs>
          <w:tab w:val="clear" w:pos="720"/>
          <w:tab w:val="left" w:pos="1750" w:leader="none"/>
        </w:tabs>
        <w:spacing w:lineRule="auto" w:line="228" w:before="102" w:after="0"/>
        <w:ind w:firstLine="630" w:left="332" w:right="723"/>
        <w:jc w:val="both"/>
        <w:rPr>
          <w:sz w:val="20"/>
        </w:rPr>
      </w:pPr>
      <w:r>
        <w:rPr>
          <w:sz w:val="20"/>
        </w:rPr>
        <w:t>Não se encontra inidônea para licitar ou contratar com órgãos da Administração Pública Federal, Estadual, Municipal e do Distrito</w:t>
      </w:r>
      <w:r>
        <w:rPr>
          <w:spacing w:val="-4"/>
          <w:sz w:val="20"/>
        </w:rPr>
        <w:t xml:space="preserve"> </w:t>
      </w:r>
      <w:r>
        <w:rPr>
          <w:sz w:val="20"/>
        </w:rPr>
        <w:t>Federal;</w:t>
      </w:r>
    </w:p>
    <w:p>
      <w:pPr>
        <w:pStyle w:val="ListParagraph"/>
        <w:numPr>
          <w:ilvl w:val="7"/>
          <w:numId w:val="2"/>
        </w:numPr>
        <w:tabs>
          <w:tab w:val="clear" w:pos="720"/>
          <w:tab w:val="left" w:pos="1238" w:leader="none"/>
        </w:tabs>
        <w:spacing w:lineRule="auto" w:line="228" w:before="16" w:after="0"/>
        <w:ind w:firstLine="630" w:left="332" w:right="719"/>
        <w:jc w:val="both"/>
        <w:rPr>
          <w:sz w:val="20"/>
        </w:rPr>
      </w:pPr>
      <w:r>
        <w:rPr>
          <w:sz w:val="20"/>
        </w:rPr>
        <w:t>Que até a presente data inexistem fatos impeditivos para sua habilitação no presente processo licitatório, ciente da obrigatoriedade de declarar ocorrências</w:t>
      </w:r>
      <w:r>
        <w:rPr>
          <w:spacing w:val="-5"/>
          <w:sz w:val="20"/>
        </w:rPr>
        <w:t xml:space="preserve"> </w:t>
      </w:r>
      <w:r>
        <w:rPr>
          <w:sz w:val="20"/>
        </w:rPr>
        <w:t>posteriores;</w:t>
      </w:r>
    </w:p>
    <w:p>
      <w:pPr>
        <w:pStyle w:val="ListParagraph"/>
        <w:numPr>
          <w:ilvl w:val="7"/>
          <w:numId w:val="2"/>
        </w:numPr>
        <w:tabs>
          <w:tab w:val="clear" w:pos="720"/>
          <w:tab w:val="left" w:pos="1253" w:leader="none"/>
        </w:tabs>
        <w:spacing w:lineRule="auto" w:line="228" w:before="16" w:after="0"/>
        <w:ind w:firstLine="630" w:left="332" w:right="729"/>
        <w:jc w:val="both"/>
        <w:rPr>
          <w:sz w:val="20"/>
        </w:rPr>
      </w:pPr>
      <w:r>
        <w:rPr>
          <w:sz w:val="20"/>
        </w:rPr>
        <w:t>Não possui em seu quadro permanente menor de 16 anos de idade (Art 7º, inciso XXXIII da Constituição Federal da República Federativa do</w:t>
      </w:r>
      <w:r>
        <w:rPr>
          <w:spacing w:val="-4"/>
          <w:sz w:val="20"/>
        </w:rPr>
        <w:t xml:space="preserve"> </w:t>
      </w:r>
      <w:r>
        <w:rPr>
          <w:sz w:val="20"/>
        </w:rPr>
        <w:t>Brasil);</w:t>
      </w:r>
    </w:p>
    <w:p>
      <w:pPr>
        <w:pStyle w:val="ListParagraph"/>
        <w:numPr>
          <w:ilvl w:val="7"/>
          <w:numId w:val="2"/>
        </w:numPr>
        <w:tabs>
          <w:tab w:val="clear" w:pos="720"/>
          <w:tab w:val="left" w:pos="1750" w:leader="none"/>
        </w:tabs>
        <w:spacing w:lineRule="auto" w:line="235" w:before="9" w:after="0"/>
        <w:ind w:firstLine="630" w:left="332" w:right="703"/>
        <w:jc w:val="both"/>
        <w:rPr>
          <w:sz w:val="20"/>
        </w:rPr>
      </w:pPr>
      <w:r>
        <w:rPr>
          <w:sz w:val="20"/>
          <w:shd w:fill="auto" w:val="clear"/>
        </w:rPr>
        <w:t>Conforme prescrito no inciso III do Art. 67 da Lei 14.133/21</w:t>
      </w:r>
      <w:r>
        <w:rPr>
          <w:sz w:val="20"/>
        </w:rPr>
        <w:t xml:space="preserve">, tomou conhecimento de todas as informações e das condições para o cumprimento das obrigações, objeto do </w:t>
      </w:r>
      <w:r>
        <w:rPr>
          <w:b/>
          <w:sz w:val="20"/>
        </w:rPr>
        <w:t xml:space="preserve">Pregão ELETRÔNICO nº 1/2024 UASG 160487-Centro de Preparação de Oficiais da Reserva e Colégio Militar de São Paulo, </w:t>
      </w:r>
      <w:r>
        <w:rPr>
          <w:sz w:val="20"/>
        </w:rPr>
        <w:t>e cumpre plenamente os requisitos de habilitação definidos na Seção “DA HABILITAÇÃO” do Edital;</w:t>
      </w:r>
      <w:r>
        <w:rPr>
          <w:spacing w:val="-16"/>
          <w:sz w:val="20"/>
        </w:rPr>
        <w:t xml:space="preserve"> </w:t>
      </w:r>
      <w:r>
        <w:rPr>
          <w:sz w:val="20"/>
        </w:rPr>
        <w:t>e</w:t>
      </w:r>
    </w:p>
    <w:p>
      <w:pPr>
        <w:pStyle w:val="ListParagraph"/>
        <w:numPr>
          <w:ilvl w:val="7"/>
          <w:numId w:val="2"/>
        </w:numPr>
        <w:tabs>
          <w:tab w:val="clear" w:pos="720"/>
          <w:tab w:val="left" w:pos="1265" w:leader="none"/>
        </w:tabs>
        <w:spacing w:lineRule="auto" w:line="228" w:before="14" w:after="0"/>
        <w:ind w:firstLine="630" w:left="332" w:right="702"/>
        <w:jc w:val="both"/>
        <w:rPr>
          <w:b/>
          <w:sz w:val="20"/>
        </w:rPr>
      </w:pPr>
      <w:r>
        <w:rPr>
          <w:sz w:val="20"/>
        </w:rPr>
        <w:t xml:space="preserve">Está ciente e concorda com as condições contidas no edital e anexos do </w:t>
      </w:r>
      <w:r>
        <w:rPr>
          <w:b/>
          <w:sz w:val="20"/>
        </w:rPr>
        <w:t>Pregão ELETRÔNICO nº 1/2024 UASG 160487-Centro de Preparação de Oficiais da Reserva e Colégio Militar de São Paulo.</w:t>
      </w:r>
    </w:p>
    <w:p>
      <w:pPr>
        <w:pStyle w:val="BodyText"/>
        <w:rPr>
          <w:b/>
          <w:sz w:val="22"/>
        </w:rPr>
      </w:pPr>
      <w:r>
        <w:rPr>
          <w:b/>
          <w:sz w:val="22"/>
        </w:rPr>
      </w:r>
    </w:p>
    <w:p>
      <w:pPr>
        <w:pStyle w:val="BodyText"/>
        <w:spacing w:before="6" w:after="0"/>
        <w:rPr>
          <w:b/>
          <w:sz w:val="18"/>
        </w:rPr>
      </w:pPr>
      <w:r>
        <w:rPr>
          <w:b/>
          <w:sz w:val="18"/>
        </w:rPr>
      </w:r>
    </w:p>
    <w:p>
      <w:pPr>
        <w:pStyle w:val="BodyText"/>
        <w:tabs>
          <w:tab w:val="clear" w:pos="720"/>
          <w:tab w:val="left" w:pos="4708" w:leader="none"/>
          <w:tab w:val="left" w:pos="6314" w:leader="none"/>
        </w:tabs>
        <w:ind w:hanging="0" w:left="2356"/>
        <w:rPr/>
      </w:pPr>
      <w:r>
        <w:rPr/>
        <w:t>São Paulo-SP</w:t>
      </w:r>
      <w:r>
        <w:rPr>
          <w:u w:val="single"/>
        </w:rPr>
        <w:t xml:space="preserve"> </w:t>
        <w:tab/>
      </w:r>
      <w:r>
        <w:rPr/>
        <w:t>de</w:t>
      </w:r>
      <w:r>
        <w:rPr>
          <w:u w:val="single"/>
        </w:rPr>
        <w:t xml:space="preserve"> </w:t>
        <w:tab/>
      </w:r>
      <w:r>
        <w:rPr/>
        <w:t>de</w:t>
      </w:r>
      <w:r>
        <w:rPr>
          <w:spacing w:val="-2"/>
        </w:rPr>
        <w:t xml:space="preserve"> </w:t>
      </w:r>
      <w:r>
        <w:rPr/>
        <w:t>2024.</w:t>
      </w:r>
    </w:p>
    <w:p>
      <w:pPr>
        <w:pStyle w:val="BodyText"/>
        <w:rPr/>
      </w:pPr>
      <w:r>
        <w:rPr/>
      </w:r>
    </w:p>
    <w:p>
      <w:pPr>
        <w:pStyle w:val="BodyText"/>
        <w:rPr/>
      </w:pPr>
      <w:r>
        <w:rPr/>
      </w:r>
    </w:p>
    <w:p>
      <w:pPr>
        <w:pStyle w:val="BodyText"/>
        <w:rPr/>
      </w:pPr>
      <w:r>
        <w:rPr/>
      </w:r>
    </w:p>
    <w:p>
      <w:pPr>
        <w:pStyle w:val="BodyText"/>
        <w:rPr/>
      </w:pPr>
      <w:r>
        <w:rPr/>
      </w:r>
    </w:p>
    <w:p>
      <w:pPr>
        <w:pStyle w:val="BodyText"/>
        <w:rPr/>
      </w:pPr>
      <w:r>
        <w:rPr/>
      </w:r>
    </w:p>
    <w:p>
      <w:pPr>
        <w:pStyle w:val="BodyText"/>
        <w:spacing w:before="6" w:after="0"/>
        <w:rPr>
          <w:sz w:val="11"/>
        </w:rPr>
      </w:pPr>
      <w:r>
        <w:rPr>
          <w:sz w:val="11"/>
        </w:rPr>
        <mc:AlternateContent>
          <mc:Choice Requires="wps">
            <w:drawing>
              <wp:anchor behindDoc="0" distT="1270" distB="10795" distL="5080" distR="5080" simplePos="0" locked="0" layoutInCell="0" allowOverlap="1" relativeHeight="2">
                <wp:simplePos x="0" y="0"/>
                <wp:positionH relativeFrom="page">
                  <wp:posOffset>1027430</wp:posOffset>
                </wp:positionH>
                <wp:positionV relativeFrom="paragraph">
                  <wp:posOffset>112395</wp:posOffset>
                </wp:positionV>
                <wp:extent cx="2896870" cy="0"/>
                <wp:effectExtent l="3175" t="3810" r="3175" b="3810"/>
                <wp:wrapTopAndBottom/>
                <wp:docPr id="2" name="Line 2"/>
                <a:graphic xmlns:a="http://schemas.openxmlformats.org/drawingml/2006/main">
                  <a:graphicData uri="http://schemas.microsoft.com/office/word/2010/wordprocessingShape">
                    <wps:wsp>
                      <wps:cNvSpPr/>
                      <wps:spPr>
                        <a:xfrm>
                          <a:off x="0" y="0"/>
                          <a:ext cx="2896920" cy="0"/>
                        </a:xfrm>
                        <a:prstGeom prst="line">
                          <a:avLst/>
                        </a:prstGeom>
                        <a:ln w="6480">
                          <a:solidFill>
                            <a:srgbClr val="000000"/>
                          </a:solidFill>
                          <a:round/>
                        </a:ln>
                      </wps:spPr>
                      <wps:style>
                        <a:lnRef idx="0"/>
                        <a:fillRef idx="0"/>
                        <a:effectRef idx="0"/>
                        <a:fontRef idx="minor"/>
                      </wps:style>
                      <wps:bodyPr/>
                    </wps:wsp>
                  </a:graphicData>
                </a:graphic>
              </wp:anchor>
            </w:drawing>
          </mc:Choice>
          <mc:Fallback>
            <w:pict>
              <v:line id="shape_0" from="80.9pt,8.85pt" to="308.95pt,8.85pt" ID="Line 2" stroked="t" o:allowincell="f" style="position:absolute;mso-position-horizontal-relative:page">
                <v:stroke color="black" weight="6480" joinstyle="round" endcap="flat"/>
                <v:fill o:detectmouseclick="t" on="false"/>
                <w10:wrap type="topAndBottom"/>
              </v:line>
            </w:pict>
          </mc:Fallback>
        </mc:AlternateContent>
      </w:r>
    </w:p>
    <w:p>
      <w:pPr>
        <w:pStyle w:val="BodyText"/>
        <w:spacing w:before="4" w:after="0"/>
        <w:rPr>
          <w:sz w:val="11"/>
        </w:rPr>
      </w:pPr>
      <w:r>
        <w:rPr>
          <w:sz w:val="11"/>
        </w:rPr>
      </w:r>
    </w:p>
    <w:p>
      <w:pPr>
        <w:pStyle w:val="BodyText"/>
        <w:spacing w:before="93" w:after="0"/>
        <w:ind w:hanging="0" w:left="450"/>
        <w:rPr/>
      </w:pPr>
      <w:r>
        <w:rPr/>
        <w:t>Assinatura do Representante</w:t>
      </w:r>
    </w:p>
    <w:p>
      <w:pPr>
        <w:pStyle w:val="BodyText"/>
        <w:spacing w:before="1" w:after="0"/>
        <w:rPr/>
      </w:pPr>
      <w:r>
        <w:rPr/>
      </w:r>
    </w:p>
    <w:p>
      <w:pPr>
        <w:pStyle w:val="BodyText"/>
        <w:ind w:hanging="0" w:left="433" w:right="9540"/>
        <w:rPr/>
      </w:pPr>
      <w:r>
        <w:rPr/>
        <w:t>Nome:</w:t>
      </w:r>
    </w:p>
    <w:p>
      <w:pPr>
        <w:pStyle w:val="BodyText"/>
        <w:ind w:hanging="0" w:left="433" w:right="9540"/>
        <w:rPr/>
      </w:pPr>
      <w:r>
        <w:rPr/>
        <w:t>RG:</w:t>
      </w:r>
    </w:p>
    <w:p>
      <w:pPr>
        <w:pStyle w:val="BodyText"/>
        <w:ind w:hanging="0" w:left="433" w:right="9540"/>
        <w:rPr/>
      </w:pPr>
      <w:r>
        <w:rPr/>
        <w:t>CPF:</w:t>
      </w:r>
    </w:p>
    <w:sectPr>
      <w:type w:val="nextPage"/>
      <w:pgSz w:w="11906" w:h="16838"/>
      <w:pgMar w:left="800" w:right="540" w:gutter="0" w:header="0" w:top="132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6"/>
      <w:numFmt w:val="decimal"/>
      <w:lvlText w:val="%1"/>
      <w:lvlJc w:val="left"/>
      <w:pPr>
        <w:tabs>
          <w:tab w:val="num" w:pos="0"/>
        </w:tabs>
        <w:ind w:left="618" w:hanging="531"/>
      </w:pPr>
      <w:rPr>
        <w:lang w:val="pt-BR" w:eastAsia="pt-BR" w:bidi="pt-BR"/>
      </w:rPr>
    </w:lvl>
    <w:lvl w:ilvl="1">
      <w:start w:val="1"/>
      <w:numFmt w:val="decimal"/>
      <w:lvlText w:val="%1.%2."/>
      <w:lvlJc w:val="left"/>
      <w:pPr>
        <w:tabs>
          <w:tab w:val="num" w:pos="0"/>
        </w:tabs>
        <w:ind w:left="618" w:hanging="531"/>
      </w:pPr>
      <w:rPr>
        <w:sz w:val="20"/>
        <w:spacing w:val="-1"/>
        <w:szCs w:val="20"/>
        <w:w w:val="99"/>
        <w:rFonts w:ascii="Arial" w:hAnsi="Arial" w:eastAsia="Arial" w:cs="Arial"/>
        <w:lang w:val="pt-BR" w:eastAsia="pt-BR" w:bidi="pt-BR"/>
      </w:rPr>
    </w:lvl>
    <w:lvl w:ilvl="2">
      <w:start w:val="1"/>
      <w:numFmt w:val="decimal"/>
      <w:lvlText w:val="%3."/>
      <w:lvlJc w:val="left"/>
      <w:pPr>
        <w:tabs>
          <w:tab w:val="num" w:pos="0"/>
        </w:tabs>
        <w:ind w:left="1242" w:hanging="240"/>
      </w:pPr>
      <w:rPr>
        <w:sz w:val="24"/>
        <w:spacing w:val="-3"/>
        <w:szCs w:val="24"/>
        <w:w w:val="100"/>
        <w:rFonts w:ascii="Times New Roman" w:hAnsi="Times New Roman" w:eastAsia="Times New Roman" w:cs="Times New Roman"/>
        <w:lang w:val="pt-BR" w:eastAsia="pt-BR" w:bidi="pt-BR"/>
      </w:rPr>
    </w:lvl>
    <w:lvl w:ilvl="3">
      <w:start w:val="1"/>
      <w:numFmt w:val="lowerLetter"/>
      <w:lvlText w:val="%4."/>
      <w:lvlJc w:val="left"/>
      <w:pPr>
        <w:tabs>
          <w:tab w:val="num" w:pos="0"/>
        </w:tabs>
        <w:ind w:left="1528" w:hanging="226"/>
      </w:pPr>
      <w:rPr>
        <w:sz w:val="24"/>
        <w:spacing w:val="-2"/>
        <w:szCs w:val="24"/>
        <w:w w:val="99"/>
        <w:rFonts w:ascii="Times New Roman" w:hAnsi="Times New Roman" w:eastAsia="Times New Roman" w:cs="Times New Roman"/>
        <w:lang w:val="pt-BR" w:eastAsia="pt-BR" w:bidi="pt-BR"/>
      </w:rPr>
    </w:lvl>
    <w:lvl w:ilvl="4">
      <w:start w:val="1"/>
      <w:numFmt w:val="decimal"/>
      <w:lvlText w:val="%5)"/>
      <w:lvlJc w:val="left"/>
      <w:pPr>
        <w:tabs>
          <w:tab w:val="num" w:pos="0"/>
        </w:tabs>
        <w:ind w:left="433" w:hanging="272"/>
      </w:pPr>
      <w:rPr>
        <w:sz w:val="24"/>
        <w:szCs w:val="24"/>
        <w:w w:val="99"/>
        <w:rFonts w:ascii="Times New Roman" w:hAnsi="Times New Roman" w:eastAsia="Times New Roman" w:cs="Times New Roman"/>
        <w:lang w:val="pt-BR" w:eastAsia="pt-BR" w:bidi="pt-BR"/>
      </w:rPr>
    </w:lvl>
    <w:lvl w:ilvl="5">
      <w:start w:val="1"/>
      <w:numFmt w:val="lowerLetter"/>
      <w:lvlText w:val="%6)"/>
      <w:lvlJc w:val="left"/>
      <w:pPr>
        <w:tabs>
          <w:tab w:val="num" w:pos="0"/>
        </w:tabs>
        <w:ind w:left="433" w:hanging="264"/>
      </w:pPr>
      <w:rPr>
        <w:sz w:val="24"/>
        <w:spacing w:val="-1"/>
        <w:szCs w:val="24"/>
        <w:w w:val="99"/>
        <w:rFonts w:ascii="Times New Roman" w:hAnsi="Times New Roman" w:eastAsia="Times New Roman" w:cs="Times New Roman"/>
        <w:lang w:val="pt-BR" w:eastAsia="pt-BR" w:bidi="pt-BR"/>
      </w:rPr>
    </w:lvl>
    <w:lvl w:ilvl="6">
      <w:start w:val="1"/>
      <w:numFmt w:val="lowerLetter"/>
      <w:lvlText w:val="(%7)"/>
      <w:lvlJc w:val="left"/>
      <w:pPr>
        <w:tabs>
          <w:tab w:val="num" w:pos="0"/>
        </w:tabs>
        <w:ind w:left="496" w:hanging="389"/>
      </w:pPr>
      <w:rPr>
        <w:sz w:val="24"/>
        <w:spacing w:val="-28"/>
        <w:b/>
        <w:szCs w:val="24"/>
        <w:bCs/>
        <w:w w:val="99"/>
        <w:rFonts w:ascii="Times New Roman" w:hAnsi="Times New Roman" w:eastAsia="Times New Roman" w:cs="Times New Roman"/>
        <w:lang w:val="pt-BR" w:eastAsia="pt-BR" w:bidi="pt-BR"/>
      </w:rPr>
    </w:lvl>
    <w:lvl w:ilvl="7">
      <w:start w:val="1"/>
      <w:numFmt w:val="decimal"/>
      <w:lvlText w:val="%8."/>
      <w:lvlJc w:val="left"/>
      <w:pPr>
        <w:tabs>
          <w:tab w:val="num" w:pos="0"/>
        </w:tabs>
        <w:ind w:left="332" w:hanging="788"/>
      </w:pPr>
      <w:rPr>
        <w:sz w:val="24"/>
        <w:spacing w:val="-28"/>
        <w:b/>
        <w:szCs w:val="24"/>
        <w:bCs/>
        <w:w w:val="99"/>
        <w:rFonts w:ascii="Times New Roman" w:hAnsi="Times New Roman" w:eastAsia="Times New Roman" w:cs="Times New Roman"/>
        <w:lang w:val="pt-BR" w:eastAsia="pt-BR" w:bidi="pt-BR"/>
      </w:rPr>
    </w:lvl>
    <w:lvl w:ilvl="8">
      <w:start w:val="0"/>
      <w:numFmt w:val="bullet"/>
      <w:lvlText w:val=""/>
      <w:lvlJc w:val="left"/>
      <w:pPr>
        <w:tabs>
          <w:tab w:val="num" w:pos="0"/>
        </w:tabs>
        <w:ind w:left="6947" w:hanging="788"/>
      </w:pPr>
      <w:rPr>
        <w:rFonts w:ascii="Symbol" w:hAnsi="Symbol" w:cs="Symbol" w:hint="default"/>
        <w:lang w:val="pt-BR" w:eastAsia="pt-BR" w:bidi="pt-B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pPr>
      <w:widowControl w:val="false"/>
      <w:suppressAutoHyphens w:val="true"/>
      <w:bidi w:val="0"/>
      <w:spacing w:before="0" w:after="0"/>
      <w:jc w:val="left"/>
    </w:pPr>
    <w:rPr>
      <w:rFonts w:ascii="Arial" w:hAnsi="Arial" w:eastAsia="Arial" w:cs="Arial"/>
      <w:color w:val="auto"/>
      <w:kern w:val="0"/>
      <w:sz w:val="22"/>
      <w:szCs w:val="22"/>
      <w:lang w:val="pt-BR" w:eastAsia="pt-BR" w:bidi="pt-BR"/>
    </w:rPr>
  </w:style>
  <w:style w:type="paragraph" w:styleId="Heading1">
    <w:name w:val="Heading 1"/>
    <w:basedOn w:val="Normal"/>
    <w:uiPriority w:val="1"/>
    <w:qFormat/>
    <w:pPr>
      <w:ind w:hanging="0" w:left="107"/>
      <w:outlineLvl w:val="0"/>
    </w:pPr>
    <w:rPr>
      <w:b/>
      <w:bCs/>
      <w:sz w:val="20"/>
      <w:szCs w:val="20"/>
    </w:rPr>
  </w:style>
  <w:style w:type="paragraph" w:styleId="Heading4">
    <w:name w:val="Heading 4"/>
    <w:basedOn w:val="Ttulo"/>
    <w:next w:val="BodyText"/>
    <w:qFormat/>
    <w:pPr>
      <w:numPr>
        <w:ilvl w:val="3"/>
        <w:numId w:val="1"/>
      </w:numPr>
      <w:spacing w:before="120" w:after="120"/>
      <w:outlineLvl w:val="3"/>
    </w:pPr>
    <w:rPr>
      <w:b/>
      <w:bCs/>
      <w:i/>
      <w:iCs/>
      <w:sz w:val="26"/>
      <w:szCs w:val="26"/>
    </w:rPr>
  </w:style>
  <w:style w:type="paragraph" w:styleId="Heading8">
    <w:name w:val="Heading 8"/>
    <w:basedOn w:val="Normal"/>
    <w:next w:val="Normal"/>
    <w:link w:val="Ttulo8Char"/>
    <w:uiPriority w:val="9"/>
    <w:semiHidden/>
    <w:unhideWhenUsed/>
    <w:qFormat/>
    <w:rsid w:val="00152590"/>
    <w:pPr>
      <w:keepNext w:val="true"/>
      <w:keepLines/>
      <w:spacing w:before="200" w:after="0"/>
      <w:outlineLvl w:val="7"/>
    </w:pPr>
    <w:rPr>
      <w:rFonts w:ascii="Cambria" w:hAnsi="Cambria" w:eastAsia="" w:cs="" w:asciiTheme="majorHAnsi" w:cstheme="majorBidi" w:eastAsiaTheme="majorEastAsia" w:hAnsiTheme="majorHAnsi"/>
      <w:color w:themeColor="text1" w:themeTint="bf" w:val="404040"/>
      <w:sz w:val="20"/>
      <w:szCs w:val="20"/>
    </w:rPr>
  </w:style>
  <w:style w:type="character" w:styleId="DefaultParagraphFont" w:default="1">
    <w:name w:val="Default Paragraph Font"/>
    <w:uiPriority w:val="1"/>
    <w:semiHidden/>
    <w:unhideWhenUsed/>
    <w:qFormat/>
    <w:rPr/>
  </w:style>
  <w:style w:type="character" w:styleId="Ttulo8Char" w:customStyle="1">
    <w:name w:val="Título 8 Char"/>
    <w:basedOn w:val="DefaultParagraphFont"/>
    <w:uiPriority w:val="9"/>
    <w:semiHidden/>
    <w:qFormat/>
    <w:rsid w:val="00152590"/>
    <w:rPr>
      <w:rFonts w:ascii="Cambria" w:hAnsi="Cambria" w:eastAsia="" w:cs="" w:asciiTheme="majorHAnsi" w:cstheme="majorBidi" w:eastAsiaTheme="majorEastAsia" w:hAnsiTheme="majorHAnsi"/>
      <w:color w:themeColor="text1" w:themeTint="bf" w:val="404040"/>
      <w:sz w:val="20"/>
      <w:szCs w:val="20"/>
      <w:lang w:val="pt-BR" w:eastAsia="pt-BR" w:bidi="pt-BR"/>
    </w:rPr>
  </w:style>
  <w:style w:type="character" w:styleId="Marcadores">
    <w:name w:val="Marcadores"/>
    <w:qFormat/>
    <w:rPr>
      <w:rFonts w:ascii="OpenSymbol" w:hAnsi="OpenSymbol" w:eastAsia="OpenSymbol" w:cs="OpenSymbol"/>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uiPriority w:val="1"/>
    <w:qFormat/>
    <w:pPr>
      <w:ind w:hanging="0" w:left="618"/>
      <w:jc w:val="both"/>
    </w:pPr>
    <w:rPr/>
  </w:style>
  <w:style w:type="paragraph" w:styleId="TableParagraph" w:customStyle="1">
    <w:name w:val="Table Paragraph"/>
    <w:basedOn w:val="Normal"/>
    <w:uiPriority w:val="1"/>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66</TotalTime>
  <Application>LibreOffice/7.6.4.1$Windows_X86_64 LibreOffice_project/e19e193f88cd6c0525a17fb7a176ed8e6a3e2aa1</Application>
  <AppVersion>15.0000</AppVersion>
  <Pages>4</Pages>
  <Words>1221</Words>
  <Characters>7123</Characters>
  <CharactersWithSpaces>8288</CharactersWithSpaces>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2021-08-09T11:50:00Z</dcterms:created>
  <dc:creator>1º Ten Neto</dc:creator>
  <dc:description/>
  <dc:language>pt-BR</dc:language>
  <cp:lastModifiedBy/>
  <dcterms:modified xsi:type="dcterms:W3CDTF">2024-08-29T11:01:01Z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2018-08-03T00:00:00Z</vt:filetime>
  </property>
  <property fmtid="{D5CDD505-2E9C-101B-9397-08002B2CF9AE}" pid="3" name="Creator">
    <vt:lpwstr>Microsoft® Word 2010</vt:lpwstr>
  </property>
  <property fmtid="{D5CDD505-2E9C-101B-9397-08002B2CF9AE}" pid="4" name="LastSaved">
    <vt:filetime>2019-01-22T00:00:00Z</vt:filetime>
  </property>
</Properties>
</file>